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89E221" w14:textId="77777777" w:rsidR="004F5793" w:rsidRDefault="004F5793" w:rsidP="00A92D44"/>
    <w:p w14:paraId="7389E222" w14:textId="77777777" w:rsidR="00E97FDC" w:rsidRDefault="00E97FDC"/>
    <w:p w14:paraId="7389E223" w14:textId="77777777" w:rsidR="00E97FDC" w:rsidRDefault="00E97FDC"/>
    <w:p w14:paraId="7389E224" w14:textId="77777777" w:rsidR="00E97FDC" w:rsidRDefault="00E97FDC"/>
    <w:p w14:paraId="7389E225" w14:textId="77777777" w:rsidR="00E97FDC" w:rsidRDefault="00E97FDC"/>
    <w:p w14:paraId="7389E226" w14:textId="77777777" w:rsidR="00E97FDC" w:rsidRDefault="00E97FDC"/>
    <w:p w14:paraId="7389E227" w14:textId="77777777" w:rsidR="00E97FDC" w:rsidRDefault="00E97FDC"/>
    <w:p w14:paraId="7389E228" w14:textId="77777777" w:rsidR="00E97FDC" w:rsidRDefault="004F5793">
      <w:r w:rsidRPr="004F5793">
        <w:t>Translation Audit Checklist</w:t>
      </w:r>
    </w:p>
    <w:p w14:paraId="7389E229" w14:textId="77777777" w:rsidR="00E97FDC" w:rsidRDefault="004F5793">
      <w:r>
        <w:t>Version 1.0</w:t>
      </w:r>
    </w:p>
    <w:p w14:paraId="7389E22A" w14:textId="77777777" w:rsidR="008658A1" w:rsidRDefault="004F5793">
      <w: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73171626"/>
        <w:docPartObj>
          <w:docPartGallery w:val="Table of Contents"/>
          <w:docPartUnique/>
        </w:docPartObj>
      </w:sdtPr>
      <w:sdtEndPr/>
      <w:sdtContent>
        <w:p w14:paraId="7389E22B" w14:textId="77777777" w:rsidR="00E97FDC" w:rsidRDefault="00E97FDC" w:rsidP="00E97FDC">
          <w:pPr>
            <w:pStyle w:val="TOCHeading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E97FDC">
            <w:rPr>
              <w:rFonts w:ascii="Times New Roman" w:hAnsi="Times New Roman" w:cs="Times New Roman"/>
              <w:color w:val="auto"/>
              <w:sz w:val="24"/>
              <w:szCs w:val="24"/>
            </w:rPr>
            <w:t>Table of Contents</w:t>
          </w:r>
        </w:p>
        <w:p w14:paraId="7389E22C" w14:textId="77777777" w:rsidR="00241F4D" w:rsidRPr="00241F4D" w:rsidRDefault="00241F4D" w:rsidP="00241F4D"/>
        <w:p w14:paraId="7389E22D" w14:textId="77777777" w:rsidR="00742CD3" w:rsidRPr="00742CD3" w:rsidRDefault="008A1343">
          <w:pPr>
            <w:pStyle w:val="TOC1"/>
            <w:tabs>
              <w:tab w:val="left" w:pos="440"/>
              <w:tab w:val="right" w:leader="dot" w:pos="9350"/>
            </w:tabs>
            <w:rPr>
              <w:rFonts w:ascii="Verdana" w:eastAsiaTheme="minorEastAsia" w:hAnsi="Verdana" w:cstheme="minorBidi"/>
              <w:noProof/>
              <w:sz w:val="20"/>
              <w:szCs w:val="20"/>
            </w:rPr>
          </w:pPr>
          <w:r w:rsidRPr="00985566">
            <w:rPr>
              <w:rFonts w:ascii="Verdana" w:hAnsi="Verdana"/>
              <w:sz w:val="20"/>
              <w:szCs w:val="20"/>
            </w:rPr>
            <w:fldChar w:fldCharType="begin"/>
          </w:r>
          <w:r w:rsidR="00E97FDC" w:rsidRPr="00985566">
            <w:rPr>
              <w:rFonts w:ascii="Verdana" w:hAnsi="Verdana"/>
              <w:sz w:val="20"/>
              <w:szCs w:val="20"/>
            </w:rPr>
            <w:instrText xml:space="preserve"> TOC \o "1-3" \h \z \u </w:instrText>
          </w:r>
          <w:r w:rsidRPr="00985566">
            <w:rPr>
              <w:rFonts w:ascii="Verdana" w:hAnsi="Verdana"/>
              <w:sz w:val="20"/>
              <w:szCs w:val="20"/>
            </w:rPr>
            <w:fldChar w:fldCharType="separate"/>
          </w:r>
          <w:hyperlink w:anchor="_Toc280188298" w:history="1">
            <w:r w:rsidR="00742CD3" w:rsidRPr="00742CD3">
              <w:rPr>
                <w:rStyle w:val="Hyperlink"/>
                <w:rFonts w:ascii="Verdana" w:hAnsi="Verdana"/>
                <w:noProof/>
                <w:sz w:val="20"/>
                <w:szCs w:val="20"/>
              </w:rPr>
              <w:t>1.</w:t>
            </w:r>
            <w:r w:rsidR="00742CD3" w:rsidRPr="00742CD3">
              <w:rPr>
                <w:rFonts w:ascii="Verdana" w:eastAsiaTheme="minorEastAsia" w:hAnsi="Verdana" w:cstheme="minorBidi"/>
                <w:noProof/>
                <w:sz w:val="20"/>
                <w:szCs w:val="20"/>
              </w:rPr>
              <w:tab/>
            </w:r>
            <w:r w:rsidR="00742CD3" w:rsidRPr="00742CD3">
              <w:rPr>
                <w:rStyle w:val="Hyperlink"/>
                <w:rFonts w:ascii="Verdana" w:hAnsi="Verdana"/>
                <w:noProof/>
                <w:sz w:val="20"/>
                <w:szCs w:val="20"/>
              </w:rPr>
              <w:t>Background</w:t>
            </w:r>
            <w:r w:rsidR="00742CD3" w:rsidRPr="00742CD3">
              <w:rPr>
                <w:rFonts w:ascii="Verdana" w:hAnsi="Verdana"/>
                <w:noProof/>
                <w:webHidden/>
                <w:sz w:val="20"/>
                <w:szCs w:val="20"/>
              </w:rPr>
              <w:tab/>
            </w:r>
            <w:r w:rsidR="00742CD3" w:rsidRPr="00742CD3">
              <w:rPr>
                <w:rFonts w:ascii="Verdana" w:hAnsi="Verdana"/>
                <w:noProof/>
                <w:webHidden/>
                <w:sz w:val="20"/>
                <w:szCs w:val="20"/>
              </w:rPr>
              <w:fldChar w:fldCharType="begin"/>
            </w:r>
            <w:r w:rsidR="00742CD3" w:rsidRPr="00742CD3">
              <w:rPr>
                <w:rFonts w:ascii="Verdana" w:hAnsi="Verdana"/>
                <w:noProof/>
                <w:webHidden/>
                <w:sz w:val="20"/>
                <w:szCs w:val="20"/>
              </w:rPr>
              <w:instrText xml:space="preserve"> PAGEREF _Toc280188298 \h </w:instrText>
            </w:r>
            <w:r w:rsidR="00742CD3" w:rsidRPr="00742CD3">
              <w:rPr>
                <w:rFonts w:ascii="Verdana" w:hAnsi="Verdana"/>
                <w:noProof/>
                <w:webHidden/>
                <w:sz w:val="20"/>
                <w:szCs w:val="20"/>
              </w:rPr>
            </w:r>
            <w:r w:rsidR="00742CD3" w:rsidRPr="00742CD3">
              <w:rPr>
                <w:rFonts w:ascii="Verdana" w:hAnsi="Verdana"/>
                <w:noProof/>
                <w:webHidden/>
                <w:sz w:val="20"/>
                <w:szCs w:val="20"/>
              </w:rPr>
              <w:fldChar w:fldCharType="separate"/>
            </w:r>
            <w:r w:rsidR="00742CD3" w:rsidRPr="00742CD3">
              <w:rPr>
                <w:rFonts w:ascii="Verdana" w:hAnsi="Verdana"/>
                <w:noProof/>
                <w:webHidden/>
                <w:sz w:val="20"/>
                <w:szCs w:val="20"/>
              </w:rPr>
              <w:t>3</w:t>
            </w:r>
            <w:r w:rsidR="00742CD3" w:rsidRPr="00742CD3">
              <w:rPr>
                <w:rFonts w:ascii="Verdana" w:hAnsi="Verdan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389E22E" w14:textId="77777777" w:rsidR="00742CD3" w:rsidRPr="00742CD3" w:rsidRDefault="007D7A8D">
          <w:pPr>
            <w:pStyle w:val="TOC1"/>
            <w:tabs>
              <w:tab w:val="left" w:pos="440"/>
              <w:tab w:val="right" w:leader="dot" w:pos="9350"/>
            </w:tabs>
            <w:rPr>
              <w:rFonts w:ascii="Verdana" w:eastAsiaTheme="minorEastAsia" w:hAnsi="Verdana" w:cstheme="minorBidi"/>
              <w:noProof/>
              <w:sz w:val="20"/>
              <w:szCs w:val="20"/>
            </w:rPr>
          </w:pPr>
          <w:hyperlink w:anchor="_Toc280188299" w:history="1">
            <w:r w:rsidR="00742CD3" w:rsidRPr="00742CD3">
              <w:rPr>
                <w:rStyle w:val="Hyperlink"/>
                <w:rFonts w:ascii="Verdana" w:hAnsi="Verdana"/>
                <w:noProof/>
                <w:sz w:val="20"/>
                <w:szCs w:val="20"/>
              </w:rPr>
              <w:t>2.</w:t>
            </w:r>
            <w:r w:rsidR="00742CD3" w:rsidRPr="00742CD3">
              <w:rPr>
                <w:rFonts w:ascii="Verdana" w:eastAsiaTheme="minorEastAsia" w:hAnsi="Verdana" w:cstheme="minorBidi"/>
                <w:noProof/>
                <w:sz w:val="20"/>
                <w:szCs w:val="20"/>
              </w:rPr>
              <w:tab/>
            </w:r>
            <w:r w:rsidR="00742CD3" w:rsidRPr="00742CD3">
              <w:rPr>
                <w:rStyle w:val="Hyperlink"/>
                <w:rFonts w:ascii="Verdana" w:hAnsi="Verdana"/>
                <w:noProof/>
                <w:sz w:val="20"/>
                <w:szCs w:val="20"/>
              </w:rPr>
              <w:t>Purpose</w:t>
            </w:r>
            <w:r w:rsidR="00742CD3" w:rsidRPr="00742CD3">
              <w:rPr>
                <w:rFonts w:ascii="Verdana" w:hAnsi="Verdana"/>
                <w:noProof/>
                <w:webHidden/>
                <w:sz w:val="20"/>
                <w:szCs w:val="20"/>
              </w:rPr>
              <w:tab/>
            </w:r>
            <w:r w:rsidR="00742CD3" w:rsidRPr="00742CD3">
              <w:rPr>
                <w:rFonts w:ascii="Verdana" w:hAnsi="Verdana"/>
                <w:noProof/>
                <w:webHidden/>
                <w:sz w:val="20"/>
                <w:szCs w:val="20"/>
              </w:rPr>
              <w:fldChar w:fldCharType="begin"/>
            </w:r>
            <w:r w:rsidR="00742CD3" w:rsidRPr="00742CD3">
              <w:rPr>
                <w:rFonts w:ascii="Verdana" w:hAnsi="Verdana"/>
                <w:noProof/>
                <w:webHidden/>
                <w:sz w:val="20"/>
                <w:szCs w:val="20"/>
              </w:rPr>
              <w:instrText xml:space="preserve"> PAGEREF _Toc280188299 \h </w:instrText>
            </w:r>
            <w:r w:rsidR="00742CD3" w:rsidRPr="00742CD3">
              <w:rPr>
                <w:rFonts w:ascii="Verdana" w:hAnsi="Verdana"/>
                <w:noProof/>
                <w:webHidden/>
                <w:sz w:val="20"/>
                <w:szCs w:val="20"/>
              </w:rPr>
            </w:r>
            <w:r w:rsidR="00742CD3" w:rsidRPr="00742CD3">
              <w:rPr>
                <w:rFonts w:ascii="Verdana" w:hAnsi="Verdana"/>
                <w:noProof/>
                <w:webHidden/>
                <w:sz w:val="20"/>
                <w:szCs w:val="20"/>
              </w:rPr>
              <w:fldChar w:fldCharType="separate"/>
            </w:r>
            <w:r w:rsidR="00742CD3" w:rsidRPr="00742CD3">
              <w:rPr>
                <w:rFonts w:ascii="Verdana" w:hAnsi="Verdana"/>
                <w:noProof/>
                <w:webHidden/>
                <w:sz w:val="20"/>
                <w:szCs w:val="20"/>
              </w:rPr>
              <w:t>3</w:t>
            </w:r>
            <w:r w:rsidR="00742CD3" w:rsidRPr="00742CD3">
              <w:rPr>
                <w:rFonts w:ascii="Verdana" w:hAnsi="Verdan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389E22F" w14:textId="77777777" w:rsidR="00742CD3" w:rsidRPr="00742CD3" w:rsidRDefault="007D7A8D">
          <w:pPr>
            <w:pStyle w:val="TOC1"/>
            <w:tabs>
              <w:tab w:val="left" w:pos="440"/>
              <w:tab w:val="right" w:leader="dot" w:pos="9350"/>
            </w:tabs>
            <w:rPr>
              <w:rFonts w:ascii="Verdana" w:eastAsiaTheme="minorEastAsia" w:hAnsi="Verdana" w:cstheme="minorBidi"/>
              <w:noProof/>
              <w:sz w:val="20"/>
              <w:szCs w:val="20"/>
            </w:rPr>
          </w:pPr>
          <w:hyperlink w:anchor="_Toc280188300" w:history="1">
            <w:r w:rsidR="00742CD3" w:rsidRPr="00742CD3">
              <w:rPr>
                <w:rStyle w:val="Hyperlink"/>
                <w:rFonts w:ascii="Verdana" w:hAnsi="Verdana"/>
                <w:noProof/>
                <w:sz w:val="20"/>
                <w:szCs w:val="20"/>
              </w:rPr>
              <w:t>3.</w:t>
            </w:r>
            <w:r w:rsidR="00742CD3" w:rsidRPr="00742CD3">
              <w:rPr>
                <w:rFonts w:ascii="Verdana" w:eastAsiaTheme="minorEastAsia" w:hAnsi="Verdana" w:cstheme="minorBidi"/>
                <w:noProof/>
                <w:sz w:val="20"/>
                <w:szCs w:val="20"/>
              </w:rPr>
              <w:tab/>
            </w:r>
            <w:r w:rsidR="00742CD3" w:rsidRPr="00742CD3">
              <w:rPr>
                <w:rStyle w:val="Hyperlink"/>
                <w:rFonts w:ascii="Verdana" w:hAnsi="Verdana"/>
                <w:noProof/>
                <w:sz w:val="20"/>
                <w:szCs w:val="20"/>
              </w:rPr>
              <w:t>Translation Types: Crosswalk</w:t>
            </w:r>
            <w:r w:rsidR="00742CD3" w:rsidRPr="00742CD3">
              <w:rPr>
                <w:rFonts w:ascii="Verdana" w:hAnsi="Verdana"/>
                <w:noProof/>
                <w:webHidden/>
                <w:sz w:val="20"/>
                <w:szCs w:val="20"/>
              </w:rPr>
              <w:tab/>
            </w:r>
            <w:r w:rsidR="00742CD3" w:rsidRPr="00742CD3">
              <w:rPr>
                <w:rFonts w:ascii="Verdana" w:hAnsi="Verdana"/>
                <w:noProof/>
                <w:webHidden/>
                <w:sz w:val="20"/>
                <w:szCs w:val="20"/>
              </w:rPr>
              <w:fldChar w:fldCharType="begin"/>
            </w:r>
            <w:r w:rsidR="00742CD3" w:rsidRPr="00742CD3">
              <w:rPr>
                <w:rFonts w:ascii="Verdana" w:hAnsi="Verdana"/>
                <w:noProof/>
                <w:webHidden/>
                <w:sz w:val="20"/>
                <w:szCs w:val="20"/>
              </w:rPr>
              <w:instrText xml:space="preserve"> PAGEREF _Toc280188300 \h </w:instrText>
            </w:r>
            <w:r w:rsidR="00742CD3" w:rsidRPr="00742CD3">
              <w:rPr>
                <w:rFonts w:ascii="Verdana" w:hAnsi="Verdana"/>
                <w:noProof/>
                <w:webHidden/>
                <w:sz w:val="20"/>
                <w:szCs w:val="20"/>
              </w:rPr>
            </w:r>
            <w:r w:rsidR="00742CD3" w:rsidRPr="00742CD3">
              <w:rPr>
                <w:rFonts w:ascii="Verdana" w:hAnsi="Verdana"/>
                <w:noProof/>
                <w:webHidden/>
                <w:sz w:val="20"/>
                <w:szCs w:val="20"/>
              </w:rPr>
              <w:fldChar w:fldCharType="separate"/>
            </w:r>
            <w:r w:rsidR="00742CD3" w:rsidRPr="00742CD3">
              <w:rPr>
                <w:rFonts w:ascii="Verdana" w:hAnsi="Verdana"/>
                <w:noProof/>
                <w:webHidden/>
                <w:sz w:val="20"/>
                <w:szCs w:val="20"/>
              </w:rPr>
              <w:t>3</w:t>
            </w:r>
            <w:r w:rsidR="00742CD3" w:rsidRPr="00742CD3">
              <w:rPr>
                <w:rFonts w:ascii="Verdana" w:hAnsi="Verdan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389E230" w14:textId="77777777" w:rsidR="00742CD3" w:rsidRPr="00742CD3" w:rsidRDefault="007D7A8D">
          <w:pPr>
            <w:pStyle w:val="TOC1"/>
            <w:tabs>
              <w:tab w:val="left" w:pos="440"/>
              <w:tab w:val="right" w:leader="dot" w:pos="9350"/>
            </w:tabs>
            <w:rPr>
              <w:rFonts w:ascii="Verdana" w:eastAsiaTheme="minorEastAsia" w:hAnsi="Verdana" w:cstheme="minorBidi"/>
              <w:noProof/>
              <w:sz w:val="20"/>
              <w:szCs w:val="20"/>
            </w:rPr>
          </w:pPr>
          <w:hyperlink w:anchor="_Toc280188301" w:history="1">
            <w:r w:rsidR="00742CD3" w:rsidRPr="00742CD3">
              <w:rPr>
                <w:rStyle w:val="Hyperlink"/>
                <w:rFonts w:ascii="Verdana" w:hAnsi="Verdana"/>
                <w:noProof/>
                <w:sz w:val="20"/>
                <w:szCs w:val="20"/>
              </w:rPr>
              <w:t>4.</w:t>
            </w:r>
            <w:r w:rsidR="00742CD3" w:rsidRPr="00742CD3">
              <w:rPr>
                <w:rFonts w:ascii="Verdana" w:eastAsiaTheme="minorEastAsia" w:hAnsi="Verdana" w:cstheme="minorBidi"/>
                <w:noProof/>
                <w:sz w:val="20"/>
                <w:szCs w:val="20"/>
              </w:rPr>
              <w:tab/>
            </w:r>
            <w:r w:rsidR="00742CD3" w:rsidRPr="00742CD3">
              <w:rPr>
                <w:rStyle w:val="Hyperlink"/>
                <w:rFonts w:ascii="Verdana" w:hAnsi="Verdana"/>
                <w:noProof/>
                <w:sz w:val="20"/>
                <w:szCs w:val="20"/>
              </w:rPr>
              <w:t>Translation Types: Redefining Categories</w:t>
            </w:r>
            <w:r w:rsidR="00742CD3" w:rsidRPr="00742CD3">
              <w:rPr>
                <w:rFonts w:ascii="Verdana" w:hAnsi="Verdana"/>
                <w:noProof/>
                <w:webHidden/>
                <w:sz w:val="20"/>
                <w:szCs w:val="20"/>
              </w:rPr>
              <w:tab/>
            </w:r>
            <w:r w:rsidR="00742CD3" w:rsidRPr="00742CD3">
              <w:rPr>
                <w:rFonts w:ascii="Verdana" w:hAnsi="Verdana"/>
                <w:noProof/>
                <w:webHidden/>
                <w:sz w:val="20"/>
                <w:szCs w:val="20"/>
              </w:rPr>
              <w:fldChar w:fldCharType="begin"/>
            </w:r>
            <w:r w:rsidR="00742CD3" w:rsidRPr="00742CD3">
              <w:rPr>
                <w:rFonts w:ascii="Verdana" w:hAnsi="Verdana"/>
                <w:noProof/>
                <w:webHidden/>
                <w:sz w:val="20"/>
                <w:szCs w:val="20"/>
              </w:rPr>
              <w:instrText xml:space="preserve"> PAGEREF _Toc280188301 \h </w:instrText>
            </w:r>
            <w:r w:rsidR="00742CD3" w:rsidRPr="00742CD3">
              <w:rPr>
                <w:rFonts w:ascii="Verdana" w:hAnsi="Verdana"/>
                <w:noProof/>
                <w:webHidden/>
                <w:sz w:val="20"/>
                <w:szCs w:val="20"/>
              </w:rPr>
            </w:r>
            <w:r w:rsidR="00742CD3" w:rsidRPr="00742CD3">
              <w:rPr>
                <w:rFonts w:ascii="Verdana" w:hAnsi="Verdana"/>
                <w:noProof/>
                <w:webHidden/>
                <w:sz w:val="20"/>
                <w:szCs w:val="20"/>
              </w:rPr>
              <w:fldChar w:fldCharType="separate"/>
            </w:r>
            <w:r w:rsidR="00742CD3" w:rsidRPr="00742CD3">
              <w:rPr>
                <w:rFonts w:ascii="Verdana" w:hAnsi="Verdana"/>
                <w:noProof/>
                <w:webHidden/>
                <w:sz w:val="20"/>
                <w:szCs w:val="20"/>
              </w:rPr>
              <w:t>4</w:t>
            </w:r>
            <w:r w:rsidR="00742CD3" w:rsidRPr="00742CD3">
              <w:rPr>
                <w:rFonts w:ascii="Verdana" w:hAnsi="Verdan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389E231" w14:textId="77777777" w:rsidR="004F5793" w:rsidRDefault="008A1343" w:rsidP="00A92D44">
          <w:r w:rsidRPr="00985566">
            <w:rPr>
              <w:rFonts w:ascii="Verdana" w:hAnsi="Verdana"/>
              <w:sz w:val="20"/>
              <w:szCs w:val="20"/>
            </w:rPr>
            <w:fldChar w:fldCharType="end"/>
          </w:r>
        </w:p>
      </w:sdtContent>
    </w:sdt>
    <w:p w14:paraId="7389E232" w14:textId="77777777" w:rsidR="004F5793" w:rsidRDefault="004F5793" w:rsidP="00A92D44"/>
    <w:p w14:paraId="7389E233" w14:textId="77777777" w:rsidR="004F5793" w:rsidRDefault="004F5793" w:rsidP="00A92D44">
      <w:pPr>
        <w:rPr>
          <w:rFonts w:ascii="Arial" w:hAnsi="Arial" w:cs="Arial"/>
          <w:kern w:val="32"/>
          <w:sz w:val="28"/>
          <w:szCs w:val="28"/>
        </w:rPr>
      </w:pPr>
      <w:r>
        <w:br w:type="page"/>
      </w:r>
    </w:p>
    <w:p w14:paraId="7389E234" w14:textId="77777777" w:rsidR="00E97FDC" w:rsidRDefault="004F5793">
      <w:pPr>
        <w:pStyle w:val="Heading1"/>
      </w:pPr>
      <w:bookmarkStart w:id="0" w:name="_Toc277753868"/>
      <w:bookmarkStart w:id="1" w:name="_Toc280188298"/>
      <w:bookmarkEnd w:id="0"/>
      <w:r w:rsidRPr="004F5793">
        <w:lastRenderedPageBreak/>
        <w:t>Background</w:t>
      </w:r>
      <w:bookmarkEnd w:id="1"/>
    </w:p>
    <w:p w14:paraId="7389E235" w14:textId="77777777" w:rsidR="00E97FDC" w:rsidRDefault="009F209F" w:rsidP="00E97FDC">
      <w:r>
        <w:t>Translation of some type will be a reality of moving from ICD-9 to ICD-10</w:t>
      </w:r>
      <w:r w:rsidR="00F71F37">
        <w:t>.</w:t>
      </w:r>
      <w:r>
        <w:t xml:space="preserve">  Translation will result in the loss of some information or the assumption of some information that may not be true.  Translation may have financial and reporting implications.  </w:t>
      </w:r>
      <w:r w:rsidR="008D1D31">
        <w:t>During the translation process, i</w:t>
      </w:r>
      <w:r>
        <w:t xml:space="preserve">t is important to assure that there is accountability </w:t>
      </w:r>
      <w:r w:rsidR="008D1D31">
        <w:t>and</w:t>
      </w:r>
      <w:r>
        <w:t xml:space="preserve"> to understand unintended consequences of data migration and transformation.</w:t>
      </w:r>
    </w:p>
    <w:p w14:paraId="7389E236" w14:textId="77777777" w:rsidR="00E97FDC" w:rsidRDefault="008D1D31" w:rsidP="00E97FDC">
      <w:pPr>
        <w:pStyle w:val="Heading1"/>
      </w:pPr>
      <w:bookmarkStart w:id="2" w:name="_Toc280188299"/>
      <w:r w:rsidRPr="00435A84">
        <w:t>Purpose</w:t>
      </w:r>
      <w:bookmarkEnd w:id="2"/>
    </w:p>
    <w:p w14:paraId="7389E237" w14:textId="77777777" w:rsidR="00E97FDC" w:rsidRDefault="007810C3" w:rsidP="00E97FDC">
      <w:r>
        <w:t xml:space="preserve">The purpose of this checklist is as a tool for the </w:t>
      </w:r>
      <w:r w:rsidR="00241F4D">
        <w:t>SMA</w:t>
      </w:r>
      <w:r w:rsidR="00A92D44">
        <w:t xml:space="preserve">s </w:t>
      </w:r>
      <w:r w:rsidR="008D1D31">
        <w:t xml:space="preserve">to audit the translation process and </w:t>
      </w:r>
      <w:r w:rsidR="008D1D31" w:rsidRPr="00435A84">
        <w:t xml:space="preserve">support </w:t>
      </w:r>
      <w:r w:rsidR="008D1D31">
        <w:t xml:space="preserve">the </w:t>
      </w:r>
      <w:r w:rsidR="008D1D31" w:rsidRPr="00435A84">
        <w:t>ICD-10 migration process.</w:t>
      </w:r>
    </w:p>
    <w:p w14:paraId="7389E238" w14:textId="77777777" w:rsidR="00E97FDC" w:rsidRDefault="008D1D31">
      <w:pPr>
        <w:pStyle w:val="Heading1"/>
      </w:pPr>
      <w:bookmarkStart w:id="3" w:name="_Toc277753382"/>
      <w:bookmarkStart w:id="4" w:name="_Toc277753871"/>
      <w:bookmarkStart w:id="5" w:name="_Toc280188300"/>
      <w:bookmarkEnd w:id="3"/>
      <w:bookmarkEnd w:id="4"/>
      <w:r>
        <w:t>T</w:t>
      </w:r>
      <w:r w:rsidR="000C5DFE">
        <w:t>ranslation</w:t>
      </w:r>
      <w:r>
        <w:t xml:space="preserve"> Types: Crosswalk</w:t>
      </w:r>
      <w:bookmarkEnd w:id="5"/>
    </w:p>
    <w:p w14:paraId="7389E239" w14:textId="77777777" w:rsidR="00E97FDC" w:rsidRDefault="00A92D44" w:rsidP="00E97FDC">
      <w:r>
        <w:t xml:space="preserve">A </w:t>
      </w:r>
      <w:r w:rsidR="009F209F">
        <w:t>crosswalk is the specification that identifies how to convert a source code in ICD-9 or ICD-10 to a target code in the corresponding ICD-9 or ICD-</w:t>
      </w:r>
      <w:r w:rsidR="002D435A">
        <w:t>10 standard</w:t>
      </w:r>
      <w:r w:rsidR="009F209F">
        <w:t xml:space="preserve">.  </w:t>
      </w:r>
      <w:r w:rsidR="004F5793">
        <w:t xml:space="preserve">Generally, crosswalks are automated processes </w:t>
      </w:r>
      <w:r w:rsidR="009F209F">
        <w:t>without human intervention</w:t>
      </w:r>
      <w:r w:rsidR="002D435A">
        <w:t xml:space="preserve">.  Crosswalks may convert one source code to more than one target code.  </w:t>
      </w:r>
      <w:r w:rsidR="008D1D31">
        <w:t>Crosswalks</w:t>
      </w:r>
      <w:r w:rsidR="002D435A">
        <w:t xml:space="preserve"> may also occur in either direction</w:t>
      </w:r>
      <w:r w:rsidR="004F5793">
        <w:t>,</w:t>
      </w:r>
      <w:r w:rsidR="002D435A">
        <w:t xml:space="preserve"> </w:t>
      </w:r>
      <w:r w:rsidR="004F5793">
        <w:t xml:space="preserve">i.e., </w:t>
      </w:r>
      <w:r w:rsidR="002D435A">
        <w:t xml:space="preserve">ICD-9 to ICD-10 or ICD-10 to ICD-9.  </w:t>
      </w:r>
    </w:p>
    <w:p w14:paraId="7389E23A" w14:textId="77777777" w:rsidR="00E97FDC" w:rsidRDefault="00E97FDC"/>
    <w:p w14:paraId="7389E23B" w14:textId="77777777" w:rsidR="00E97FDC" w:rsidRDefault="008D1D31">
      <w:r w:rsidRPr="00435A84">
        <w:t xml:space="preserve">The following </w:t>
      </w:r>
      <w:r w:rsidR="00A92D44">
        <w:t>checklist consists of</w:t>
      </w:r>
      <w:r>
        <w:t xml:space="preserve"> best practices for creating and evaluating </w:t>
      </w:r>
      <w:proofErr w:type="spellStart"/>
      <w:r>
        <w:t>crosswalking</w:t>
      </w:r>
      <w:proofErr w:type="spellEnd"/>
      <w:r>
        <w:t xml:space="preserve"> translation</w:t>
      </w:r>
      <w:r w:rsidR="00B704B9">
        <w:t>s</w:t>
      </w:r>
      <w:r w:rsidRPr="00435A84">
        <w:t>:</w:t>
      </w:r>
    </w:p>
    <w:p w14:paraId="7389E23C" w14:textId="77777777" w:rsidR="00E97FDC" w:rsidRDefault="00E97FDC"/>
    <w:tbl>
      <w:tblPr>
        <w:tblStyle w:val="MediumShading1-Accent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Evaluating Crosswalk Translation"/>
        <w:tblDescription w:val="The table has a checklist for best practices for crosswalking."/>
      </w:tblPr>
      <w:tblGrid>
        <w:gridCol w:w="1350"/>
        <w:gridCol w:w="8240"/>
      </w:tblGrid>
      <w:tr w:rsidR="008D1D31" w:rsidRPr="004F5793" w14:paraId="7389E23F" w14:textId="77777777" w:rsidTr="00241F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233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7389E23D" w14:textId="77777777" w:rsidR="00E97FDC" w:rsidRPr="005F5FFC" w:rsidRDefault="004F5793" w:rsidP="00B704B9">
            <w:pPr>
              <w:jc w:val="center"/>
              <w:rPr>
                <w:b w:val="0"/>
                <w:bCs w:val="0"/>
                <w:color w:val="auto"/>
              </w:rPr>
            </w:pPr>
            <w:r w:rsidRPr="005F5FFC">
              <w:t>Completed</w:t>
            </w:r>
          </w:p>
        </w:tc>
        <w:tc>
          <w:tcPr>
            <w:tcW w:w="47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7389E23E" w14:textId="77777777" w:rsidR="008D1D31" w:rsidRPr="005F5FFC" w:rsidRDefault="008D1D31" w:rsidP="00B704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F5FFC">
              <w:t xml:space="preserve">Key </w:t>
            </w:r>
            <w:r w:rsidR="000C5DFE" w:rsidRPr="005F5FFC">
              <w:t>Items</w:t>
            </w:r>
          </w:p>
        </w:tc>
      </w:tr>
      <w:tr w:rsidR="00705047" w:rsidRPr="008D1D31" w14:paraId="7389E242" w14:textId="77777777" w:rsidTr="00241F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" w:type="pct"/>
            <w:tcBorders>
              <w:right w:val="none" w:sz="0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389E240" w14:textId="77777777" w:rsidR="00705047" w:rsidRPr="005F5FFC" w:rsidRDefault="008A1343" w:rsidP="00A92D44">
            <w:pPr>
              <w:jc w:val="center"/>
            </w:pPr>
            <w:r w:rsidRPr="005F5FF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"/>
            <w:r w:rsidR="00705047" w:rsidRPr="005F5FFC">
              <w:instrText xml:space="preserve"> FORMCHECKBOX </w:instrText>
            </w:r>
            <w:r w:rsidRPr="005F5FFC">
              <w:fldChar w:fldCharType="end"/>
            </w:r>
            <w:bookmarkEnd w:id="6"/>
          </w:p>
        </w:tc>
        <w:tc>
          <w:tcPr>
            <w:tcW w:w="4743" w:type="pct"/>
            <w:tcBorders>
              <w:left w:val="none" w:sz="0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389E241" w14:textId="77777777" w:rsidR="00705047" w:rsidRPr="005F5FFC" w:rsidRDefault="002D435A" w:rsidP="00A92D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F5FFC">
              <w:t xml:space="preserve">Documentation of all </w:t>
            </w:r>
            <w:proofErr w:type="spellStart"/>
            <w:r w:rsidRPr="005F5FFC">
              <w:t>crosswalking</w:t>
            </w:r>
            <w:proofErr w:type="spellEnd"/>
            <w:r w:rsidRPr="005F5FFC">
              <w:t xml:space="preserve"> specifications</w:t>
            </w:r>
            <w:r w:rsidR="002B181B" w:rsidRPr="005F5FFC">
              <w:rPr>
                <w:rStyle w:val="FootnoteReference"/>
              </w:rPr>
              <w:footnoteReference w:id="1"/>
            </w:r>
          </w:p>
        </w:tc>
      </w:tr>
      <w:tr w:rsidR="00705047" w:rsidRPr="008D1D31" w14:paraId="7389E245" w14:textId="77777777" w:rsidTr="00241F4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" w:type="pct"/>
            <w:tcBorders>
              <w:right w:val="none" w:sz="0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389E243" w14:textId="77777777" w:rsidR="00705047" w:rsidRPr="005F5FFC" w:rsidRDefault="008A1343" w:rsidP="00A92D44">
            <w:pPr>
              <w:jc w:val="center"/>
            </w:pPr>
            <w:r w:rsidRPr="005F5FFC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2"/>
            <w:r w:rsidR="00705047" w:rsidRPr="005F5FFC">
              <w:instrText xml:space="preserve"> FORMCHECKBOX </w:instrText>
            </w:r>
            <w:r w:rsidRPr="005F5FFC">
              <w:fldChar w:fldCharType="end"/>
            </w:r>
            <w:bookmarkEnd w:id="7"/>
          </w:p>
        </w:tc>
        <w:tc>
          <w:tcPr>
            <w:tcW w:w="4743" w:type="pct"/>
            <w:tcBorders>
              <w:left w:val="none" w:sz="0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389E244" w14:textId="77777777" w:rsidR="00D10654" w:rsidRPr="005F5FFC" w:rsidRDefault="002D435A" w:rsidP="00A92D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5F5FFC">
              <w:t xml:space="preserve">Documentation for the crosswalk development methodologies including polices for choosing a map when multiple ‘equivalent’ values are available </w:t>
            </w:r>
          </w:p>
        </w:tc>
      </w:tr>
      <w:tr w:rsidR="00705047" w:rsidRPr="008D1D31" w14:paraId="7389E248" w14:textId="77777777" w:rsidTr="00241F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" w:type="pct"/>
            <w:tcBorders>
              <w:right w:val="none" w:sz="0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389E246" w14:textId="77777777" w:rsidR="00705047" w:rsidRPr="005F5FFC" w:rsidRDefault="008A1343" w:rsidP="00A92D44">
            <w:pPr>
              <w:jc w:val="center"/>
            </w:pPr>
            <w:r w:rsidRPr="005F5FFC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05047" w:rsidRPr="005F5FFC">
              <w:instrText xml:space="preserve"> FORMCHECKBOX </w:instrText>
            </w:r>
            <w:r w:rsidRPr="005F5FFC">
              <w:fldChar w:fldCharType="end"/>
            </w:r>
          </w:p>
        </w:tc>
        <w:tc>
          <w:tcPr>
            <w:tcW w:w="4743" w:type="pct"/>
            <w:tcBorders>
              <w:left w:val="none" w:sz="0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389E247" w14:textId="77777777" w:rsidR="00705047" w:rsidRPr="005F5FFC" w:rsidRDefault="002D435A" w:rsidP="00A92D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F5FFC">
              <w:t xml:space="preserve">Documentation of the governance structure for approval of crosswalks and </w:t>
            </w:r>
            <w:proofErr w:type="spellStart"/>
            <w:r w:rsidRPr="005F5FFC">
              <w:t>crosswalking</w:t>
            </w:r>
            <w:proofErr w:type="spellEnd"/>
            <w:r w:rsidRPr="005F5FFC">
              <w:t xml:space="preserve"> policies</w:t>
            </w:r>
            <w:r w:rsidR="000C5DFE" w:rsidRPr="005F5FFC">
              <w:t xml:space="preserve"> </w:t>
            </w:r>
          </w:p>
        </w:tc>
      </w:tr>
      <w:tr w:rsidR="00BD3C88" w:rsidRPr="008D1D31" w14:paraId="7389E24B" w14:textId="77777777" w:rsidTr="00241F4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" w:type="pct"/>
            <w:tcBorders>
              <w:right w:val="none" w:sz="0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389E249" w14:textId="77777777" w:rsidR="00BD3C88" w:rsidRPr="005F5FFC" w:rsidRDefault="008A1343" w:rsidP="00A92D44">
            <w:pPr>
              <w:jc w:val="center"/>
            </w:pPr>
            <w:r w:rsidRPr="005F5FFC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3C88" w:rsidRPr="005F5FFC">
              <w:instrText xml:space="preserve"> FORMCHECKBOX </w:instrText>
            </w:r>
            <w:r w:rsidRPr="005F5FFC">
              <w:fldChar w:fldCharType="end"/>
            </w:r>
          </w:p>
        </w:tc>
        <w:tc>
          <w:tcPr>
            <w:tcW w:w="4743" w:type="pct"/>
            <w:tcBorders>
              <w:left w:val="none" w:sz="0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389E24A" w14:textId="77777777" w:rsidR="00BD3C88" w:rsidRPr="005F5FFC" w:rsidRDefault="002D435A" w:rsidP="008844A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5F5FFC">
              <w:t xml:space="preserve">A definition of reporting that will sample </w:t>
            </w:r>
            <w:proofErr w:type="spellStart"/>
            <w:r w:rsidRPr="005F5FFC">
              <w:t>crosswalking</w:t>
            </w:r>
            <w:proofErr w:type="spellEnd"/>
            <w:r w:rsidRPr="005F5FFC">
              <w:t xml:space="preserve"> results</w:t>
            </w:r>
            <w:r w:rsidR="008844A1">
              <w:t xml:space="preserve"> to identify instances of</w:t>
            </w:r>
            <w:r w:rsidRPr="005F5FFC">
              <w:t xml:space="preserve"> inappropriate mapping</w:t>
            </w:r>
            <w:r w:rsidR="002B181B" w:rsidRPr="005F5FFC">
              <w:rPr>
                <w:rStyle w:val="FootnoteReference"/>
              </w:rPr>
              <w:footnoteReference w:id="2"/>
            </w:r>
            <w:r w:rsidRPr="005F5FFC">
              <w:t xml:space="preserve"> </w:t>
            </w:r>
          </w:p>
        </w:tc>
      </w:tr>
      <w:tr w:rsidR="00BD3C88" w:rsidRPr="008D1D31" w14:paraId="7389E251" w14:textId="77777777" w:rsidTr="00241F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" w:type="pct"/>
            <w:tcBorders>
              <w:right w:val="none" w:sz="0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389E24C" w14:textId="77777777" w:rsidR="00BD3C88" w:rsidRPr="005F5FFC" w:rsidRDefault="008A1343" w:rsidP="00A92D44">
            <w:pPr>
              <w:jc w:val="center"/>
            </w:pPr>
            <w:r w:rsidRPr="005F5FFC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3C88" w:rsidRPr="005F5FFC">
              <w:instrText xml:space="preserve"> FORMCHECKBOX </w:instrText>
            </w:r>
            <w:r w:rsidRPr="005F5FFC">
              <w:fldChar w:fldCharType="end"/>
            </w:r>
          </w:p>
        </w:tc>
        <w:tc>
          <w:tcPr>
            <w:tcW w:w="4743" w:type="pct"/>
            <w:tcBorders>
              <w:left w:val="none" w:sz="0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389E24D" w14:textId="77777777" w:rsidR="00BD3C88" w:rsidRPr="005F5FFC" w:rsidRDefault="002D435A" w:rsidP="00A92D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F5FFC">
              <w:t>An audit capability in transaction processing to define</w:t>
            </w:r>
            <w:r w:rsidR="004F5793" w:rsidRPr="005F5FFC">
              <w:t xml:space="preserve"> the following</w:t>
            </w:r>
            <w:r w:rsidRPr="005F5FFC">
              <w:t>:</w:t>
            </w:r>
          </w:p>
          <w:p w14:paraId="7389E24E" w14:textId="77777777" w:rsidR="00E97FDC" w:rsidRPr="00B704B9" w:rsidRDefault="0045070C" w:rsidP="00E97FDC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 w:rsidRPr="0045070C">
              <w:rPr>
                <w:rFonts w:ascii="Times New Roman" w:hAnsi="Times New Roman"/>
                <w:sz w:val="24"/>
              </w:rPr>
              <w:t xml:space="preserve">When codes are </w:t>
            </w:r>
            <w:proofErr w:type="spellStart"/>
            <w:r w:rsidRPr="0045070C">
              <w:rPr>
                <w:rFonts w:ascii="Times New Roman" w:hAnsi="Times New Roman"/>
                <w:sz w:val="24"/>
              </w:rPr>
              <w:t>crosswalked</w:t>
            </w:r>
            <w:proofErr w:type="spellEnd"/>
          </w:p>
          <w:p w14:paraId="7389E24F" w14:textId="77777777" w:rsidR="00E97FDC" w:rsidRPr="00B704B9" w:rsidRDefault="0045070C" w:rsidP="00E97FDC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 w:rsidRPr="0045070C">
              <w:rPr>
                <w:rFonts w:ascii="Times New Roman" w:hAnsi="Times New Roman"/>
                <w:sz w:val="24"/>
              </w:rPr>
              <w:t>The direction of the crosswalk</w:t>
            </w:r>
          </w:p>
          <w:p w14:paraId="7389E250" w14:textId="77777777" w:rsidR="00E97FDC" w:rsidRPr="005F5FFC" w:rsidRDefault="0045070C" w:rsidP="00E97FDC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45070C">
              <w:rPr>
                <w:rFonts w:ascii="Times New Roman" w:hAnsi="Times New Roman"/>
                <w:sz w:val="24"/>
              </w:rPr>
              <w:t xml:space="preserve">The downstream systems that will use the </w:t>
            </w:r>
            <w:proofErr w:type="spellStart"/>
            <w:r w:rsidRPr="0045070C">
              <w:rPr>
                <w:rFonts w:ascii="Times New Roman" w:hAnsi="Times New Roman"/>
                <w:sz w:val="24"/>
              </w:rPr>
              <w:t>crosswalked</w:t>
            </w:r>
            <w:proofErr w:type="spellEnd"/>
            <w:r w:rsidRPr="0045070C">
              <w:rPr>
                <w:rFonts w:ascii="Times New Roman" w:hAnsi="Times New Roman"/>
                <w:sz w:val="24"/>
              </w:rPr>
              <w:t xml:space="preserve"> data</w:t>
            </w:r>
            <w:r w:rsidR="008D6737" w:rsidRPr="005F5FFC">
              <w:rPr>
                <w:rFonts w:ascii="Times New Roman" w:hAnsi="Times New Roman"/>
              </w:rPr>
              <w:t>.</w:t>
            </w:r>
          </w:p>
        </w:tc>
      </w:tr>
      <w:tr w:rsidR="00705047" w:rsidRPr="008D1D31" w14:paraId="7389E254" w14:textId="77777777" w:rsidTr="00241F4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" w:type="pct"/>
            <w:tcBorders>
              <w:right w:val="none" w:sz="0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389E252" w14:textId="77777777" w:rsidR="00705047" w:rsidRPr="005F5FFC" w:rsidRDefault="008A1343" w:rsidP="00A92D44">
            <w:pPr>
              <w:jc w:val="center"/>
            </w:pPr>
            <w:r w:rsidRPr="005F5FFC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05047" w:rsidRPr="005F5FFC">
              <w:instrText xml:space="preserve"> FORMCHECKBOX </w:instrText>
            </w:r>
            <w:r w:rsidRPr="005F5FFC">
              <w:fldChar w:fldCharType="end"/>
            </w:r>
          </w:p>
        </w:tc>
        <w:tc>
          <w:tcPr>
            <w:tcW w:w="4743" w:type="pct"/>
            <w:tcBorders>
              <w:left w:val="none" w:sz="0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389E253" w14:textId="77777777" w:rsidR="00705047" w:rsidRPr="005F5FFC" w:rsidRDefault="008D6737" w:rsidP="00A92D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5F5FFC">
              <w:t xml:space="preserve">Storage of the original unaltered code prior to </w:t>
            </w:r>
            <w:proofErr w:type="spellStart"/>
            <w:r w:rsidRPr="005F5FFC">
              <w:t>crosswalking</w:t>
            </w:r>
            <w:proofErr w:type="spellEnd"/>
          </w:p>
        </w:tc>
      </w:tr>
      <w:tr w:rsidR="00705047" w:rsidRPr="008D1D31" w14:paraId="7389E257" w14:textId="77777777" w:rsidTr="00241F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" w:type="pct"/>
            <w:tcBorders>
              <w:right w:val="none" w:sz="0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389E255" w14:textId="77777777" w:rsidR="00705047" w:rsidRPr="005F5FFC" w:rsidRDefault="008A1343" w:rsidP="00A92D44">
            <w:pPr>
              <w:jc w:val="center"/>
            </w:pPr>
            <w:r w:rsidRPr="005F5FFC">
              <w:lastRenderedPageBreak/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3"/>
            <w:r w:rsidR="00705047" w:rsidRPr="005F5FFC">
              <w:instrText xml:space="preserve"> FORMCHECKBOX </w:instrText>
            </w:r>
            <w:r w:rsidRPr="005F5FFC">
              <w:fldChar w:fldCharType="end"/>
            </w:r>
            <w:bookmarkEnd w:id="8"/>
          </w:p>
        </w:tc>
        <w:tc>
          <w:tcPr>
            <w:tcW w:w="4743" w:type="pct"/>
            <w:tcBorders>
              <w:left w:val="none" w:sz="0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389E256" w14:textId="77777777" w:rsidR="00705047" w:rsidRPr="005F5FFC" w:rsidRDefault="008D6737" w:rsidP="00A92D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F5FFC">
              <w:t>The ability to retrieve the original unaltered code for reporting and outbound transactions</w:t>
            </w:r>
          </w:p>
        </w:tc>
      </w:tr>
    </w:tbl>
    <w:p w14:paraId="7389E258" w14:textId="77777777" w:rsidR="00E97FDC" w:rsidRDefault="000C5DFE" w:rsidP="00E97FDC">
      <w:pPr>
        <w:pStyle w:val="Heading1"/>
      </w:pPr>
      <w:bookmarkStart w:id="9" w:name="_Toc280188301"/>
      <w:r>
        <w:t xml:space="preserve">Translation Types: </w:t>
      </w:r>
      <w:r w:rsidR="008D6737" w:rsidRPr="008D1D31">
        <w:t>Redefinin</w:t>
      </w:r>
      <w:r w:rsidR="004F5793">
        <w:t>g</w:t>
      </w:r>
      <w:r w:rsidR="008D6737" w:rsidRPr="008D1D31">
        <w:t xml:space="preserve"> Categories</w:t>
      </w:r>
      <w:bookmarkEnd w:id="9"/>
    </w:p>
    <w:p w14:paraId="7389E259" w14:textId="77777777" w:rsidR="00E97FDC" w:rsidRDefault="008D6737" w:rsidP="00E97FDC">
      <w:r w:rsidRPr="00A92D44">
        <w:t xml:space="preserve">Most rule logic and analytic reporting is based on aggregations of codes to represent some logical intent or subject area.  The definition of these codes under ICD-10 will be very different </w:t>
      </w:r>
      <w:r w:rsidR="001B70B7" w:rsidRPr="00A92D44">
        <w:t>tha</w:t>
      </w:r>
      <w:r w:rsidR="001B70B7">
        <w:t>n</w:t>
      </w:r>
      <w:r w:rsidR="001B70B7" w:rsidRPr="00A92D44">
        <w:t xml:space="preserve"> </w:t>
      </w:r>
      <w:r w:rsidRPr="00A92D44">
        <w:t xml:space="preserve">the definition of these codes under ICD-9.  </w:t>
      </w:r>
      <w:r w:rsidR="004F5793" w:rsidRPr="00A92D44">
        <w:t xml:space="preserve">There are financial and informatics </w:t>
      </w:r>
      <w:r w:rsidR="00E97FDC" w:rsidRPr="00E97FDC">
        <w:t xml:space="preserve">implications </w:t>
      </w:r>
      <w:r w:rsidR="004F5793" w:rsidRPr="00A92D44">
        <w:t>for ICD-9 and ICD-10</w:t>
      </w:r>
      <w:r w:rsidR="00E97FDC" w:rsidRPr="00E97FDC">
        <w:t xml:space="preserve"> code groups for both rules and reporting. </w:t>
      </w:r>
      <w:r w:rsidR="00A92D44">
        <w:t xml:space="preserve"> Similarly, d</w:t>
      </w:r>
      <w:r w:rsidRPr="00A92D44">
        <w:t>efinition of the groups or categories of codes should have a level of accountability to assure consistency, accuracy</w:t>
      </w:r>
      <w:r w:rsidR="001B70B7">
        <w:t>,</w:t>
      </w:r>
      <w:r w:rsidRPr="00A92D44">
        <w:t xml:space="preserve"> and completeness</w:t>
      </w:r>
      <w:r w:rsidR="00E97FDC" w:rsidRPr="00E97FDC">
        <w:t>.</w:t>
      </w:r>
    </w:p>
    <w:p w14:paraId="7389E25A" w14:textId="77777777" w:rsidR="00E97FDC" w:rsidRDefault="00E97FDC"/>
    <w:p w14:paraId="7389E25B" w14:textId="77777777" w:rsidR="00E97FDC" w:rsidRDefault="000C5DFE">
      <w:r w:rsidRPr="00435A84">
        <w:t>The following</w:t>
      </w:r>
      <w:r>
        <w:t xml:space="preserve"> </w:t>
      </w:r>
      <w:r w:rsidR="00A92D44">
        <w:t>checklist consists of</w:t>
      </w:r>
      <w:r>
        <w:t xml:space="preserve"> best practices for redefining and evaluating cat</w:t>
      </w:r>
      <w:bookmarkStart w:id="10" w:name="_GoBack"/>
      <w:bookmarkEnd w:id="10"/>
      <w:r>
        <w:t>egory definitions:</w:t>
      </w:r>
    </w:p>
    <w:p w14:paraId="7389E25C" w14:textId="77777777" w:rsidR="00E97FDC" w:rsidRDefault="00E97FDC"/>
    <w:tbl>
      <w:tblPr>
        <w:tblStyle w:val="MediumShading1-Accent1"/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Redefining and evaluating category definitions"/>
        <w:tblDescription w:val="The table includes a checklist of best practices for redefining and evaluating category definitions."/>
      </w:tblPr>
      <w:tblGrid>
        <w:gridCol w:w="1350"/>
        <w:gridCol w:w="8226"/>
      </w:tblGrid>
      <w:tr w:rsidR="000C5DFE" w:rsidRPr="00241F4D" w14:paraId="7389E25F" w14:textId="77777777" w:rsidTr="00241F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287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389E25D" w14:textId="77777777" w:rsidR="00EC3BB2" w:rsidRDefault="00E97FDC">
            <w:pPr>
              <w:jc w:val="center"/>
              <w:rPr>
                <w:b w:val="0"/>
                <w:bCs w:val="0"/>
                <w:color w:val="auto"/>
              </w:rPr>
            </w:pPr>
            <w:r w:rsidRPr="00241F4D">
              <w:t>Completed</w:t>
            </w:r>
          </w:p>
        </w:tc>
        <w:tc>
          <w:tcPr>
            <w:tcW w:w="908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389E25E" w14:textId="77777777" w:rsidR="00EC3BB2" w:rsidRDefault="000C5D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</w:rPr>
            </w:pPr>
            <w:r w:rsidRPr="00241F4D">
              <w:t>Key Items</w:t>
            </w:r>
          </w:p>
        </w:tc>
      </w:tr>
      <w:tr w:rsidR="000C5DFE" w:rsidRPr="008D1D31" w14:paraId="7389E262" w14:textId="77777777" w:rsidTr="00241F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tcBorders>
              <w:right w:val="none" w:sz="0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389E260" w14:textId="77777777" w:rsidR="00E97FDC" w:rsidRDefault="008A1343" w:rsidP="00E97FDC">
            <w:pPr>
              <w:jc w:val="center"/>
              <w:rPr>
                <w:b w:val="0"/>
                <w:bCs w:val="0"/>
              </w:rPr>
            </w:pPr>
            <w:r w:rsidRPr="008D1D31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5DFE" w:rsidRPr="008D1D31">
              <w:instrText xml:space="preserve"> FORMCHECKBOX </w:instrText>
            </w:r>
            <w:r w:rsidRPr="008D1D31">
              <w:fldChar w:fldCharType="end"/>
            </w:r>
          </w:p>
        </w:tc>
        <w:tc>
          <w:tcPr>
            <w:tcW w:w="9084" w:type="dxa"/>
            <w:tcBorders>
              <w:left w:val="none" w:sz="0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389E261" w14:textId="77777777" w:rsidR="000C5DFE" w:rsidRPr="008D1D31" w:rsidRDefault="000C5DFE" w:rsidP="00A92D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D1D31">
              <w:t>Documentation of the governance structure for the definition of categories of conditions and institutional procedures</w:t>
            </w:r>
          </w:p>
        </w:tc>
      </w:tr>
      <w:tr w:rsidR="000C5DFE" w:rsidRPr="008D1D31" w14:paraId="7389E265" w14:textId="77777777" w:rsidTr="00241F4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tcBorders>
              <w:right w:val="none" w:sz="0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389E263" w14:textId="77777777" w:rsidR="00E97FDC" w:rsidRDefault="008A1343" w:rsidP="00E97FDC">
            <w:pPr>
              <w:jc w:val="center"/>
              <w:rPr>
                <w:b w:val="0"/>
                <w:bCs w:val="0"/>
              </w:rPr>
            </w:pPr>
            <w:r w:rsidRPr="008D1D31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5DFE" w:rsidRPr="008D1D31">
              <w:instrText xml:space="preserve"> FORMCHECKBOX </w:instrText>
            </w:r>
            <w:r w:rsidRPr="008D1D31">
              <w:fldChar w:fldCharType="end"/>
            </w:r>
          </w:p>
        </w:tc>
        <w:tc>
          <w:tcPr>
            <w:tcW w:w="9084" w:type="dxa"/>
            <w:tcBorders>
              <w:left w:val="none" w:sz="0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389E264" w14:textId="77777777" w:rsidR="000C5DFE" w:rsidRPr="008D1D31" w:rsidRDefault="000C5DFE" w:rsidP="00A92D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8D1D31">
              <w:t>Documentation of all code aggregation models with the appropriate controls to support maintenance and consistency of definitions</w:t>
            </w:r>
            <w:r w:rsidR="002B181B">
              <w:rPr>
                <w:rStyle w:val="FootnoteReference"/>
              </w:rPr>
              <w:footnoteReference w:id="3"/>
            </w:r>
          </w:p>
        </w:tc>
      </w:tr>
      <w:tr w:rsidR="000C5DFE" w:rsidRPr="008D1D31" w14:paraId="7389E268" w14:textId="77777777" w:rsidTr="00241F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tcBorders>
              <w:right w:val="none" w:sz="0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389E266" w14:textId="77777777" w:rsidR="00E97FDC" w:rsidRDefault="008A1343" w:rsidP="00E97FDC">
            <w:pPr>
              <w:jc w:val="center"/>
              <w:rPr>
                <w:b w:val="0"/>
                <w:bCs w:val="0"/>
              </w:rPr>
            </w:pPr>
            <w:r w:rsidRPr="008D1D31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5DFE" w:rsidRPr="008D1D31">
              <w:instrText xml:space="preserve"> FORMCHECKBOX </w:instrText>
            </w:r>
            <w:r w:rsidRPr="008D1D31">
              <w:fldChar w:fldCharType="end"/>
            </w:r>
          </w:p>
        </w:tc>
        <w:tc>
          <w:tcPr>
            <w:tcW w:w="9084" w:type="dxa"/>
            <w:tcBorders>
              <w:left w:val="none" w:sz="0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389E267" w14:textId="77777777" w:rsidR="000C5DFE" w:rsidRPr="008D1D31" w:rsidRDefault="000C5DFE" w:rsidP="00A92D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D1D31">
              <w:t>Definition of the reporting strategy for “normalizing” historical data that contains both ICD-9 and ICD-10 based data</w:t>
            </w:r>
            <w:r w:rsidR="002B181B">
              <w:rPr>
                <w:rStyle w:val="FootnoteReference"/>
              </w:rPr>
              <w:footnoteReference w:id="4"/>
            </w:r>
          </w:p>
        </w:tc>
      </w:tr>
      <w:tr w:rsidR="000C5DFE" w:rsidRPr="008D1D31" w14:paraId="7389E26B" w14:textId="77777777" w:rsidTr="00241F4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tcBorders>
              <w:right w:val="none" w:sz="0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389E269" w14:textId="77777777" w:rsidR="00E97FDC" w:rsidRDefault="008A1343" w:rsidP="00E97FDC">
            <w:pPr>
              <w:jc w:val="center"/>
              <w:rPr>
                <w:b w:val="0"/>
                <w:bCs w:val="0"/>
              </w:rPr>
            </w:pPr>
            <w:r w:rsidRPr="008D1D31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5DFE" w:rsidRPr="008D1D31">
              <w:instrText xml:space="preserve"> FORMCHECKBOX </w:instrText>
            </w:r>
            <w:r w:rsidRPr="008D1D31">
              <w:fldChar w:fldCharType="end"/>
            </w:r>
          </w:p>
        </w:tc>
        <w:tc>
          <w:tcPr>
            <w:tcW w:w="9084" w:type="dxa"/>
            <w:tcBorders>
              <w:left w:val="none" w:sz="0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389E26A" w14:textId="77777777" w:rsidR="000C5DFE" w:rsidRPr="008D1D31" w:rsidRDefault="000C5DFE" w:rsidP="00A92D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8D1D31">
              <w:t>Defined maintenance process to assure that code changes are incorporated appropriately into existing categories</w:t>
            </w:r>
            <w:r w:rsidR="002B181B">
              <w:t xml:space="preserve"> and updated as required</w:t>
            </w:r>
          </w:p>
        </w:tc>
      </w:tr>
      <w:tr w:rsidR="000C5DFE" w:rsidRPr="008D1D31" w14:paraId="7389E26E" w14:textId="77777777" w:rsidTr="00241F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tcBorders>
              <w:right w:val="none" w:sz="0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389E26C" w14:textId="77777777" w:rsidR="00E97FDC" w:rsidRDefault="008A1343" w:rsidP="00E97FDC">
            <w:pPr>
              <w:jc w:val="center"/>
              <w:rPr>
                <w:b w:val="0"/>
                <w:bCs w:val="0"/>
              </w:rPr>
            </w:pPr>
            <w:r w:rsidRPr="008D1D31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5DFE" w:rsidRPr="008D1D31">
              <w:instrText xml:space="preserve"> FORMCHECKBOX </w:instrText>
            </w:r>
            <w:r w:rsidRPr="008D1D31">
              <w:fldChar w:fldCharType="end"/>
            </w:r>
          </w:p>
        </w:tc>
        <w:tc>
          <w:tcPr>
            <w:tcW w:w="9084" w:type="dxa"/>
            <w:tcBorders>
              <w:left w:val="none" w:sz="0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389E26D" w14:textId="77777777" w:rsidR="000C5DFE" w:rsidRPr="008D1D31" w:rsidRDefault="000C5DFE" w:rsidP="00A92D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D1D31">
              <w:t>Ongoing analysis to look at codes that are falling into an “unknown” category</w:t>
            </w:r>
          </w:p>
        </w:tc>
      </w:tr>
      <w:tr w:rsidR="000C5DFE" w:rsidRPr="008D1D31" w14:paraId="7389E271" w14:textId="77777777" w:rsidTr="00241F4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tcBorders>
              <w:right w:val="none" w:sz="0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389E26F" w14:textId="77777777" w:rsidR="00E97FDC" w:rsidRDefault="008A1343" w:rsidP="00E97FDC">
            <w:pPr>
              <w:jc w:val="center"/>
              <w:rPr>
                <w:b w:val="0"/>
                <w:bCs w:val="0"/>
              </w:rPr>
            </w:pPr>
            <w:r w:rsidRPr="008D1D31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5DFE" w:rsidRPr="008D1D31">
              <w:instrText xml:space="preserve"> FORMCHECKBOX </w:instrText>
            </w:r>
            <w:r w:rsidRPr="008D1D31">
              <w:fldChar w:fldCharType="end"/>
            </w:r>
          </w:p>
        </w:tc>
        <w:tc>
          <w:tcPr>
            <w:tcW w:w="9084" w:type="dxa"/>
            <w:tcBorders>
              <w:left w:val="none" w:sz="0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389E270" w14:textId="77777777" w:rsidR="000C5DFE" w:rsidRPr="008D1D31" w:rsidRDefault="000C5DFE" w:rsidP="00A92D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8D1D31">
              <w:t>Ongoing analysis to assure that data is being aggregated or grouped consistent with the defined intent</w:t>
            </w:r>
          </w:p>
        </w:tc>
      </w:tr>
      <w:tr w:rsidR="000C5DFE" w:rsidRPr="008D1D31" w14:paraId="7389E274" w14:textId="77777777" w:rsidTr="00241F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tcBorders>
              <w:right w:val="none" w:sz="0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389E272" w14:textId="77777777" w:rsidR="00E97FDC" w:rsidRDefault="008A1343" w:rsidP="00E97FDC">
            <w:pPr>
              <w:jc w:val="center"/>
              <w:rPr>
                <w:b w:val="0"/>
                <w:bCs w:val="0"/>
              </w:rPr>
            </w:pPr>
            <w:r w:rsidRPr="008D1D31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5DFE" w:rsidRPr="008D1D31">
              <w:instrText xml:space="preserve"> FORMCHECKBOX </w:instrText>
            </w:r>
            <w:r w:rsidRPr="008D1D31">
              <w:fldChar w:fldCharType="end"/>
            </w:r>
          </w:p>
        </w:tc>
        <w:tc>
          <w:tcPr>
            <w:tcW w:w="9084" w:type="dxa"/>
            <w:tcBorders>
              <w:left w:val="none" w:sz="0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389E273" w14:textId="77777777" w:rsidR="000C5DFE" w:rsidRPr="008D1D31" w:rsidRDefault="000C5DFE" w:rsidP="00241F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D1D31">
              <w:t>Ongoing analysis to identify unintended consequences of definitions in ICD-10 as compared to prior experience in ICD-9</w:t>
            </w:r>
          </w:p>
        </w:tc>
      </w:tr>
    </w:tbl>
    <w:p w14:paraId="7389E275" w14:textId="77777777" w:rsidR="00E97FDC" w:rsidRDefault="00E97FDC" w:rsidP="00E97FDC">
      <w:pPr>
        <w:pStyle w:val="Caption"/>
      </w:pPr>
    </w:p>
    <w:sectPr w:rsidR="00E97FDC" w:rsidSect="008D1D31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88B64E" w14:textId="77777777" w:rsidR="007D7A8D" w:rsidRDefault="007D7A8D">
      <w:r>
        <w:separator/>
      </w:r>
    </w:p>
  </w:endnote>
  <w:endnote w:type="continuationSeparator" w:id="0">
    <w:p w14:paraId="7CB27B0C" w14:textId="77777777" w:rsidR="007D7A8D" w:rsidRDefault="007D7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panose1 w:val="00000000000000000000"/>
    <w:charset w:val="4D"/>
    <w:family w:val="roman"/>
    <w:notTrueType/>
    <w:pitch w:val="default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9E27B" w14:textId="407763D2" w:rsidR="00B704B9" w:rsidRDefault="00A53777" w:rsidP="00E97FDC"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389E288" wp14:editId="798715C7">
              <wp:simplePos x="0" y="0"/>
              <wp:positionH relativeFrom="column">
                <wp:posOffset>36830</wp:posOffset>
              </wp:positionH>
              <wp:positionV relativeFrom="paragraph">
                <wp:posOffset>161290</wp:posOffset>
              </wp:positionV>
              <wp:extent cx="6127750" cy="0"/>
              <wp:effectExtent l="8255" t="8890" r="7620" b="10160"/>
              <wp:wrapSquare wrapText="bothSides"/>
              <wp:docPr id="2" name="Line 3" title="Lin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77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alt="Title: Line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9pt,12.7pt" to="485.4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">
              <w10:wrap type="square"/>
            </v:line>
          </w:pict>
        </mc:Fallback>
      </mc:AlternateContent>
    </w:r>
  </w:p>
  <w:tbl>
    <w:tblPr>
      <w:tblW w:w="9450" w:type="dxa"/>
      <w:tblInd w:w="108" w:type="dxa"/>
      <w:tblLook w:val="00BF" w:firstRow="1" w:lastRow="0" w:firstColumn="1" w:lastColumn="0" w:noHBand="0" w:noVBand="0"/>
    </w:tblPr>
    <w:tblGrid>
      <w:gridCol w:w="3870"/>
      <w:gridCol w:w="3420"/>
      <w:gridCol w:w="2160"/>
    </w:tblGrid>
    <w:tr w:rsidR="00B704B9" w14:paraId="7389E283" w14:textId="77777777" w:rsidTr="0011002A">
      <w:trPr>
        <w:trHeight w:val="525"/>
      </w:trPr>
      <w:tc>
        <w:tcPr>
          <w:tcW w:w="3870" w:type="dxa"/>
        </w:tcPr>
        <w:p w14:paraId="7389E27C" w14:textId="77777777" w:rsidR="00B704B9" w:rsidRDefault="00B704B9" w:rsidP="00E97FDC">
          <w:pPr>
            <w:pStyle w:val="Footer"/>
          </w:pPr>
        </w:p>
        <w:p w14:paraId="7389E27D" w14:textId="77777777" w:rsidR="00B704B9" w:rsidRDefault="007D7A8D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FILENAME   \* MERGEFORMAT </w:instrText>
          </w:r>
          <w:r>
            <w:fldChar w:fldCharType="separate"/>
          </w:r>
          <w:r w:rsidR="00B704B9" w:rsidRPr="00241F4D">
            <w:rPr>
              <w:noProof/>
              <w:color w:val="000000"/>
            </w:rPr>
            <w:t>TranslationChecklist</w:t>
          </w:r>
          <w:r w:rsidR="00B704B9">
            <w:rPr>
              <w:noProof/>
            </w:rPr>
            <w:t>.docx</w:t>
          </w:r>
          <w:r>
            <w:rPr>
              <w:noProof/>
            </w:rPr>
            <w:fldChar w:fldCharType="end"/>
          </w:r>
        </w:p>
      </w:tc>
      <w:tc>
        <w:tcPr>
          <w:tcW w:w="3420" w:type="dxa"/>
        </w:tcPr>
        <w:p w14:paraId="7389E27E" w14:textId="77777777" w:rsidR="00B704B9" w:rsidRDefault="00B704B9">
          <w:pPr>
            <w:pStyle w:val="Footer"/>
          </w:pPr>
        </w:p>
        <w:p w14:paraId="7389E27F" w14:textId="77777777" w:rsidR="00B704B9" w:rsidRDefault="00B704B9">
          <w:pPr>
            <w:pStyle w:val="Footer"/>
          </w:pPr>
          <w:r w:rsidRPr="0011002A">
            <w:t xml:space="preserve">Page </w:t>
          </w:r>
          <w:r w:rsidR="007D7A8D">
            <w:fldChar w:fldCharType="begin"/>
          </w:r>
          <w:r w:rsidR="007D7A8D">
            <w:instrText xml:space="preserve"> PAGE </w:instrText>
          </w:r>
          <w:r w:rsidR="007D7A8D">
            <w:fldChar w:fldCharType="separate"/>
          </w:r>
          <w:r w:rsidR="002C50DF">
            <w:rPr>
              <w:noProof/>
            </w:rPr>
            <w:t>4</w:t>
          </w:r>
          <w:r w:rsidR="007D7A8D">
            <w:rPr>
              <w:noProof/>
            </w:rPr>
            <w:fldChar w:fldCharType="end"/>
          </w:r>
          <w:r w:rsidRPr="0011002A">
            <w:t xml:space="preserve"> of </w:t>
          </w:r>
          <w:r w:rsidR="007D7A8D">
            <w:fldChar w:fldCharType="begin"/>
          </w:r>
          <w:r w:rsidR="007D7A8D">
            <w:instrText xml:space="preserve"> NUMPAGES </w:instrText>
          </w:r>
          <w:r w:rsidR="007D7A8D">
            <w:fldChar w:fldCharType="separate"/>
          </w:r>
          <w:r w:rsidR="002C50DF">
            <w:rPr>
              <w:noProof/>
            </w:rPr>
            <w:t>4</w:t>
          </w:r>
          <w:r w:rsidR="007D7A8D">
            <w:rPr>
              <w:noProof/>
            </w:rPr>
            <w:fldChar w:fldCharType="end"/>
          </w:r>
          <w:r w:rsidRPr="0011002A">
            <w:t xml:space="preserve"> </w:t>
          </w:r>
        </w:p>
      </w:tc>
      <w:tc>
        <w:tcPr>
          <w:tcW w:w="2160" w:type="dxa"/>
        </w:tcPr>
        <w:p w14:paraId="7389E280" w14:textId="77777777" w:rsidR="00B704B9" w:rsidRDefault="00B704B9">
          <w:pPr>
            <w:pStyle w:val="Footer"/>
          </w:pPr>
        </w:p>
        <w:p w14:paraId="7389E281" w14:textId="77777777" w:rsidR="00B704B9" w:rsidRDefault="007D7A8D">
          <w:pPr>
            <w:pStyle w:val="Footer"/>
          </w:pPr>
          <w:r>
            <w:fldChar w:fldCharType="begin"/>
          </w:r>
          <w:r>
            <w:instrText xml:space="preserve"> SAVEDATE  \@ "MMMM d, yyyy"  \* MERGEFORMAT </w:instrText>
          </w:r>
          <w:r>
            <w:fldChar w:fldCharType="separate"/>
          </w:r>
          <w:r w:rsidR="00A53777">
            <w:rPr>
              <w:noProof/>
            </w:rPr>
            <w:t>December 15, 2010</w:t>
          </w:r>
          <w:r>
            <w:rPr>
              <w:noProof/>
            </w:rPr>
            <w:fldChar w:fldCharType="end"/>
          </w:r>
        </w:p>
        <w:p w14:paraId="7389E282" w14:textId="77777777" w:rsidR="00B704B9" w:rsidRDefault="00B704B9">
          <w:pPr>
            <w:pStyle w:val="Footer"/>
          </w:pPr>
        </w:p>
      </w:tc>
    </w:tr>
  </w:tbl>
  <w:p w14:paraId="7389E284" w14:textId="77777777" w:rsidR="00B704B9" w:rsidRDefault="00B704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81637B" w14:textId="77777777" w:rsidR="007D7A8D" w:rsidRDefault="007D7A8D" w:rsidP="00A92D44">
      <w:r>
        <w:separator/>
      </w:r>
    </w:p>
  </w:footnote>
  <w:footnote w:type="continuationSeparator" w:id="0">
    <w:p w14:paraId="6B59ECA4" w14:textId="77777777" w:rsidR="007D7A8D" w:rsidRDefault="007D7A8D" w:rsidP="00E97FDC">
      <w:r>
        <w:continuationSeparator/>
      </w:r>
    </w:p>
  </w:footnote>
  <w:footnote w:id="1">
    <w:p w14:paraId="7389E289" w14:textId="77777777" w:rsidR="00B704B9" w:rsidRDefault="00B704B9" w:rsidP="00A92D44">
      <w:pPr>
        <w:pStyle w:val="FootnoteText"/>
      </w:pPr>
      <w:r>
        <w:rPr>
          <w:rStyle w:val="FootnoteReference"/>
        </w:rPr>
        <w:footnoteRef/>
      </w:r>
      <w:r>
        <w:t xml:space="preserve"> By definition a crosswalk is a specification for the mapping of one standard code to one or more standard codes.</w:t>
      </w:r>
    </w:p>
  </w:footnote>
  <w:footnote w:id="2">
    <w:p w14:paraId="7389E28A" w14:textId="77777777" w:rsidR="00B704B9" w:rsidRDefault="00B704B9" w:rsidP="00E97FDC">
      <w:pPr>
        <w:pStyle w:val="FootnoteText"/>
      </w:pPr>
      <w:r>
        <w:rPr>
          <w:rStyle w:val="FootnoteReference"/>
        </w:rPr>
        <w:footnoteRef/>
      </w:r>
      <w:r>
        <w:t xml:space="preserve"> Once </w:t>
      </w:r>
      <w:proofErr w:type="spellStart"/>
      <w:r>
        <w:t>crosswalking</w:t>
      </w:r>
      <w:proofErr w:type="spellEnd"/>
      <w:r>
        <w:t xml:space="preserve"> is completed, it should be applied to test data.  A variety of analytic reports will need to be defined to test the  crosswalk to assure that codes were migrated appropriately</w:t>
      </w:r>
    </w:p>
  </w:footnote>
  <w:footnote w:id="3">
    <w:p w14:paraId="7389E28B" w14:textId="77777777" w:rsidR="00B704B9" w:rsidRDefault="00B704B9" w:rsidP="00E97FDC">
      <w:pPr>
        <w:pStyle w:val="FootnoteText"/>
      </w:pPr>
      <w:r>
        <w:rPr>
          <w:rStyle w:val="FootnoteReference"/>
        </w:rPr>
        <w:footnoteRef/>
      </w:r>
      <w:r>
        <w:t xml:space="preserve"> This may require an architectural design to manage the definition of what groupings or aggregations of code represent the intended categories.</w:t>
      </w:r>
    </w:p>
  </w:footnote>
  <w:footnote w:id="4">
    <w:p w14:paraId="7389E28C" w14:textId="77777777" w:rsidR="00B704B9" w:rsidRDefault="00B704B9" w:rsidP="00E97FDC">
      <w:pPr>
        <w:pStyle w:val="FootnoteText"/>
      </w:pPr>
      <w:r>
        <w:rPr>
          <w:rStyle w:val="FootnoteReference"/>
        </w:rPr>
        <w:footnoteRef/>
      </w:r>
      <w:r>
        <w:t xml:space="preserve"> The level of categorization that will accurately reflect data that includes both ICD-9 and ICD-10 codes will need to be defined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9E27A" w14:textId="78B1B353" w:rsidR="00B704B9" w:rsidRDefault="00B704B9" w:rsidP="00E97FDC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7389E285" wp14:editId="7389E286">
          <wp:simplePos x="0" y="0"/>
          <wp:positionH relativeFrom="column">
            <wp:posOffset>12065</wp:posOffset>
          </wp:positionH>
          <wp:positionV relativeFrom="paragraph">
            <wp:posOffset>-159385</wp:posOffset>
          </wp:positionV>
          <wp:extent cx="1314450" cy="487680"/>
          <wp:effectExtent l="19050" t="0" r="0" b="0"/>
          <wp:wrapSquare wrapText="bothSides"/>
          <wp:docPr id="1" name="Picture 6" descr="C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MS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53777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389E287" wp14:editId="15BC0643">
              <wp:simplePos x="0" y="0"/>
              <wp:positionH relativeFrom="column">
                <wp:posOffset>-102235</wp:posOffset>
              </wp:positionH>
              <wp:positionV relativeFrom="paragraph">
                <wp:posOffset>346710</wp:posOffset>
              </wp:positionV>
              <wp:extent cx="6127750" cy="0"/>
              <wp:effectExtent l="12065" t="13335" r="13335" b="5715"/>
              <wp:wrapSquare wrapText="bothSides"/>
              <wp:docPr id="3" name="Line 4" title="Lin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77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" o:spid="_x0000_s1026" alt="Title: Line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05pt,27.3pt" to="474.4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">
              <w10:wrap type="squar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C1739"/>
    <w:multiLevelType w:val="hybridMultilevel"/>
    <w:tmpl w:val="4BB48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1140DD"/>
    <w:multiLevelType w:val="multilevel"/>
    <w:tmpl w:val="1298AEC4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7BB10FB3"/>
    <w:multiLevelType w:val="hybridMultilevel"/>
    <w:tmpl w:val="E9FAE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oNotHyphenateCaps/>
  <w:defaultTableStyle w:val="MediumShading1-Accent1"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8CC"/>
    <w:rsid w:val="00000C96"/>
    <w:rsid w:val="00001489"/>
    <w:rsid w:val="00001CED"/>
    <w:rsid w:val="00004B85"/>
    <w:rsid w:val="000120FD"/>
    <w:rsid w:val="00014366"/>
    <w:rsid w:val="00017D3C"/>
    <w:rsid w:val="00021261"/>
    <w:rsid w:val="000240DD"/>
    <w:rsid w:val="000271DC"/>
    <w:rsid w:val="00033B53"/>
    <w:rsid w:val="00045B6A"/>
    <w:rsid w:val="000532CA"/>
    <w:rsid w:val="00054F1D"/>
    <w:rsid w:val="000552B4"/>
    <w:rsid w:val="00057B75"/>
    <w:rsid w:val="0008488A"/>
    <w:rsid w:val="00094493"/>
    <w:rsid w:val="000A10D2"/>
    <w:rsid w:val="000A1E56"/>
    <w:rsid w:val="000A2CD4"/>
    <w:rsid w:val="000A30E0"/>
    <w:rsid w:val="000A5518"/>
    <w:rsid w:val="000A5F0B"/>
    <w:rsid w:val="000B7327"/>
    <w:rsid w:val="000C0F49"/>
    <w:rsid w:val="000C143B"/>
    <w:rsid w:val="000C5DFE"/>
    <w:rsid w:val="000C63FA"/>
    <w:rsid w:val="000C6D4E"/>
    <w:rsid w:val="000D2DAC"/>
    <w:rsid w:val="000E3A4D"/>
    <w:rsid w:val="000F2FD2"/>
    <w:rsid w:val="000F3BBB"/>
    <w:rsid w:val="000F598E"/>
    <w:rsid w:val="000F73FE"/>
    <w:rsid w:val="000F740B"/>
    <w:rsid w:val="000F7949"/>
    <w:rsid w:val="0011002A"/>
    <w:rsid w:val="00113EF7"/>
    <w:rsid w:val="001144E1"/>
    <w:rsid w:val="00124C33"/>
    <w:rsid w:val="001258A1"/>
    <w:rsid w:val="001260D7"/>
    <w:rsid w:val="001300F8"/>
    <w:rsid w:val="00130ACB"/>
    <w:rsid w:val="0013237F"/>
    <w:rsid w:val="001352D2"/>
    <w:rsid w:val="001460E5"/>
    <w:rsid w:val="00155D41"/>
    <w:rsid w:val="001573BD"/>
    <w:rsid w:val="001578A2"/>
    <w:rsid w:val="00162F4D"/>
    <w:rsid w:val="001721A7"/>
    <w:rsid w:val="0018306C"/>
    <w:rsid w:val="00192428"/>
    <w:rsid w:val="0019391A"/>
    <w:rsid w:val="0019488B"/>
    <w:rsid w:val="001975CD"/>
    <w:rsid w:val="001A10B6"/>
    <w:rsid w:val="001A2C72"/>
    <w:rsid w:val="001B642D"/>
    <w:rsid w:val="001B70B7"/>
    <w:rsid w:val="001C16BF"/>
    <w:rsid w:val="001C46DD"/>
    <w:rsid w:val="001D63B7"/>
    <w:rsid w:val="001E1EC4"/>
    <w:rsid w:val="001E2216"/>
    <w:rsid w:val="001F0B62"/>
    <w:rsid w:val="001F0FF2"/>
    <w:rsid w:val="001F111A"/>
    <w:rsid w:val="001F70C2"/>
    <w:rsid w:val="0020397D"/>
    <w:rsid w:val="00203A70"/>
    <w:rsid w:val="00203E0D"/>
    <w:rsid w:val="00205496"/>
    <w:rsid w:val="002077F2"/>
    <w:rsid w:val="0021385C"/>
    <w:rsid w:val="00213DC3"/>
    <w:rsid w:val="002157BF"/>
    <w:rsid w:val="002171A6"/>
    <w:rsid w:val="00220184"/>
    <w:rsid w:val="00234A0E"/>
    <w:rsid w:val="00234FFE"/>
    <w:rsid w:val="00235369"/>
    <w:rsid w:val="00236CBA"/>
    <w:rsid w:val="00237AF4"/>
    <w:rsid w:val="00241F4D"/>
    <w:rsid w:val="00251D26"/>
    <w:rsid w:val="00257AF6"/>
    <w:rsid w:val="00263FEF"/>
    <w:rsid w:val="0027003E"/>
    <w:rsid w:val="00270F84"/>
    <w:rsid w:val="002764D4"/>
    <w:rsid w:val="0028280F"/>
    <w:rsid w:val="0028452D"/>
    <w:rsid w:val="00285737"/>
    <w:rsid w:val="00287980"/>
    <w:rsid w:val="002913F5"/>
    <w:rsid w:val="00295505"/>
    <w:rsid w:val="00296842"/>
    <w:rsid w:val="00297908"/>
    <w:rsid w:val="002A0D74"/>
    <w:rsid w:val="002A1724"/>
    <w:rsid w:val="002A1997"/>
    <w:rsid w:val="002B181B"/>
    <w:rsid w:val="002B7575"/>
    <w:rsid w:val="002C508D"/>
    <w:rsid w:val="002C50DF"/>
    <w:rsid w:val="002C784B"/>
    <w:rsid w:val="002D435A"/>
    <w:rsid w:val="002D5F77"/>
    <w:rsid w:val="002E1388"/>
    <w:rsid w:val="002E1816"/>
    <w:rsid w:val="002E5EB3"/>
    <w:rsid w:val="002F23F9"/>
    <w:rsid w:val="00304298"/>
    <w:rsid w:val="00306CE7"/>
    <w:rsid w:val="00310246"/>
    <w:rsid w:val="003120E0"/>
    <w:rsid w:val="00316C00"/>
    <w:rsid w:val="00320743"/>
    <w:rsid w:val="00320A6F"/>
    <w:rsid w:val="003220F0"/>
    <w:rsid w:val="00327061"/>
    <w:rsid w:val="00327734"/>
    <w:rsid w:val="00334AC0"/>
    <w:rsid w:val="00336640"/>
    <w:rsid w:val="00352009"/>
    <w:rsid w:val="003561EB"/>
    <w:rsid w:val="00376469"/>
    <w:rsid w:val="0038192B"/>
    <w:rsid w:val="0038296B"/>
    <w:rsid w:val="0038579B"/>
    <w:rsid w:val="00386DA8"/>
    <w:rsid w:val="00387539"/>
    <w:rsid w:val="003878CB"/>
    <w:rsid w:val="0038792B"/>
    <w:rsid w:val="0039567F"/>
    <w:rsid w:val="00396E95"/>
    <w:rsid w:val="003A7A33"/>
    <w:rsid w:val="003B1DB4"/>
    <w:rsid w:val="003B2047"/>
    <w:rsid w:val="003B4BB5"/>
    <w:rsid w:val="003B5262"/>
    <w:rsid w:val="003C0CCE"/>
    <w:rsid w:val="003D4DD0"/>
    <w:rsid w:val="003D5F18"/>
    <w:rsid w:val="003E3DA1"/>
    <w:rsid w:val="003F2DE1"/>
    <w:rsid w:val="003F2FF2"/>
    <w:rsid w:val="00404E59"/>
    <w:rsid w:val="00410126"/>
    <w:rsid w:val="004146BC"/>
    <w:rsid w:val="004202DC"/>
    <w:rsid w:val="004238F5"/>
    <w:rsid w:val="00425928"/>
    <w:rsid w:val="004270B4"/>
    <w:rsid w:val="00427EDC"/>
    <w:rsid w:val="00433FC9"/>
    <w:rsid w:val="00440DFF"/>
    <w:rsid w:val="00443AB0"/>
    <w:rsid w:val="004449AC"/>
    <w:rsid w:val="00444ADC"/>
    <w:rsid w:val="0044556F"/>
    <w:rsid w:val="0045070C"/>
    <w:rsid w:val="00453997"/>
    <w:rsid w:val="00454C02"/>
    <w:rsid w:val="00464F06"/>
    <w:rsid w:val="0046671E"/>
    <w:rsid w:val="00470330"/>
    <w:rsid w:val="00472262"/>
    <w:rsid w:val="00472FF1"/>
    <w:rsid w:val="00473DE2"/>
    <w:rsid w:val="004750DB"/>
    <w:rsid w:val="0048012A"/>
    <w:rsid w:val="00485526"/>
    <w:rsid w:val="004A25DF"/>
    <w:rsid w:val="004A5207"/>
    <w:rsid w:val="004A58D5"/>
    <w:rsid w:val="004A6EF0"/>
    <w:rsid w:val="004A7126"/>
    <w:rsid w:val="004B2BB9"/>
    <w:rsid w:val="004B41AD"/>
    <w:rsid w:val="004B5E76"/>
    <w:rsid w:val="004B5EF5"/>
    <w:rsid w:val="004B6D77"/>
    <w:rsid w:val="004B78A6"/>
    <w:rsid w:val="004C43E9"/>
    <w:rsid w:val="004D2AFC"/>
    <w:rsid w:val="004D44DE"/>
    <w:rsid w:val="004D5988"/>
    <w:rsid w:val="004E241C"/>
    <w:rsid w:val="004E2BCE"/>
    <w:rsid w:val="004F1A6F"/>
    <w:rsid w:val="004F5793"/>
    <w:rsid w:val="005005B0"/>
    <w:rsid w:val="00501A38"/>
    <w:rsid w:val="0050509A"/>
    <w:rsid w:val="00507014"/>
    <w:rsid w:val="00524339"/>
    <w:rsid w:val="005249A8"/>
    <w:rsid w:val="005332A3"/>
    <w:rsid w:val="00540117"/>
    <w:rsid w:val="00540F86"/>
    <w:rsid w:val="00547CBB"/>
    <w:rsid w:val="00552B13"/>
    <w:rsid w:val="00553F8B"/>
    <w:rsid w:val="00554C67"/>
    <w:rsid w:val="0055518B"/>
    <w:rsid w:val="00555B0A"/>
    <w:rsid w:val="00562494"/>
    <w:rsid w:val="0056282E"/>
    <w:rsid w:val="00564223"/>
    <w:rsid w:val="00564BC1"/>
    <w:rsid w:val="0056790D"/>
    <w:rsid w:val="00570AF5"/>
    <w:rsid w:val="00573478"/>
    <w:rsid w:val="00575650"/>
    <w:rsid w:val="005763C2"/>
    <w:rsid w:val="00582191"/>
    <w:rsid w:val="005864BB"/>
    <w:rsid w:val="005A383D"/>
    <w:rsid w:val="005A47C5"/>
    <w:rsid w:val="005A70F7"/>
    <w:rsid w:val="005B126F"/>
    <w:rsid w:val="005B75AF"/>
    <w:rsid w:val="005C1596"/>
    <w:rsid w:val="005D2A16"/>
    <w:rsid w:val="005D4D08"/>
    <w:rsid w:val="005D6CB2"/>
    <w:rsid w:val="005E665A"/>
    <w:rsid w:val="005F0172"/>
    <w:rsid w:val="005F5FFC"/>
    <w:rsid w:val="005F6C07"/>
    <w:rsid w:val="005F7B7E"/>
    <w:rsid w:val="00603E2C"/>
    <w:rsid w:val="006104CE"/>
    <w:rsid w:val="00610A77"/>
    <w:rsid w:val="00615998"/>
    <w:rsid w:val="00627B69"/>
    <w:rsid w:val="00627CC5"/>
    <w:rsid w:val="006304D8"/>
    <w:rsid w:val="006317DF"/>
    <w:rsid w:val="00637432"/>
    <w:rsid w:val="00640D0C"/>
    <w:rsid w:val="006430DC"/>
    <w:rsid w:val="00646293"/>
    <w:rsid w:val="00652950"/>
    <w:rsid w:val="006571A3"/>
    <w:rsid w:val="0066042B"/>
    <w:rsid w:val="00661E64"/>
    <w:rsid w:val="00663DF4"/>
    <w:rsid w:val="0066475A"/>
    <w:rsid w:val="006802BB"/>
    <w:rsid w:val="00680461"/>
    <w:rsid w:val="0068223B"/>
    <w:rsid w:val="006854AB"/>
    <w:rsid w:val="0069099F"/>
    <w:rsid w:val="006A0837"/>
    <w:rsid w:val="006B4551"/>
    <w:rsid w:val="006D1CA6"/>
    <w:rsid w:val="006D46AE"/>
    <w:rsid w:val="006D4ADD"/>
    <w:rsid w:val="006D6EB6"/>
    <w:rsid w:val="006E41B9"/>
    <w:rsid w:val="006F070F"/>
    <w:rsid w:val="006F4038"/>
    <w:rsid w:val="006F5240"/>
    <w:rsid w:val="006F6357"/>
    <w:rsid w:val="00702584"/>
    <w:rsid w:val="00705047"/>
    <w:rsid w:val="00707E41"/>
    <w:rsid w:val="0071420E"/>
    <w:rsid w:val="00714D40"/>
    <w:rsid w:val="00724075"/>
    <w:rsid w:val="00724B44"/>
    <w:rsid w:val="00724B96"/>
    <w:rsid w:val="007304A6"/>
    <w:rsid w:val="0073273B"/>
    <w:rsid w:val="007352B8"/>
    <w:rsid w:val="00735C2C"/>
    <w:rsid w:val="00742CD3"/>
    <w:rsid w:val="00746077"/>
    <w:rsid w:val="007476DF"/>
    <w:rsid w:val="00747BFE"/>
    <w:rsid w:val="00753C61"/>
    <w:rsid w:val="00760896"/>
    <w:rsid w:val="00763573"/>
    <w:rsid w:val="007641F2"/>
    <w:rsid w:val="00764EC8"/>
    <w:rsid w:val="00775D9E"/>
    <w:rsid w:val="00777861"/>
    <w:rsid w:val="007810C3"/>
    <w:rsid w:val="00782501"/>
    <w:rsid w:val="00782F6C"/>
    <w:rsid w:val="007848CC"/>
    <w:rsid w:val="0078571E"/>
    <w:rsid w:val="007876BC"/>
    <w:rsid w:val="00790694"/>
    <w:rsid w:val="0079110F"/>
    <w:rsid w:val="007963B7"/>
    <w:rsid w:val="00796ABC"/>
    <w:rsid w:val="00797DB3"/>
    <w:rsid w:val="007A241A"/>
    <w:rsid w:val="007A2FE3"/>
    <w:rsid w:val="007B1EC6"/>
    <w:rsid w:val="007B1F54"/>
    <w:rsid w:val="007B27CD"/>
    <w:rsid w:val="007B3313"/>
    <w:rsid w:val="007C33AA"/>
    <w:rsid w:val="007C455E"/>
    <w:rsid w:val="007C67CD"/>
    <w:rsid w:val="007C6AC4"/>
    <w:rsid w:val="007D0FC9"/>
    <w:rsid w:val="007D4241"/>
    <w:rsid w:val="007D4B94"/>
    <w:rsid w:val="007D570D"/>
    <w:rsid w:val="007D57C4"/>
    <w:rsid w:val="007D68D0"/>
    <w:rsid w:val="007D7A8D"/>
    <w:rsid w:val="007E63CC"/>
    <w:rsid w:val="00803CB3"/>
    <w:rsid w:val="00804376"/>
    <w:rsid w:val="00806F21"/>
    <w:rsid w:val="008079A6"/>
    <w:rsid w:val="00812AE3"/>
    <w:rsid w:val="0081413F"/>
    <w:rsid w:val="0081512E"/>
    <w:rsid w:val="0081736B"/>
    <w:rsid w:val="00820EEB"/>
    <w:rsid w:val="00826068"/>
    <w:rsid w:val="00836EE7"/>
    <w:rsid w:val="00840452"/>
    <w:rsid w:val="00842AC8"/>
    <w:rsid w:val="00844A43"/>
    <w:rsid w:val="00846A90"/>
    <w:rsid w:val="008515A9"/>
    <w:rsid w:val="0085196B"/>
    <w:rsid w:val="008528DE"/>
    <w:rsid w:val="00852BB0"/>
    <w:rsid w:val="008548CC"/>
    <w:rsid w:val="0085551A"/>
    <w:rsid w:val="008560BA"/>
    <w:rsid w:val="00860285"/>
    <w:rsid w:val="008658A1"/>
    <w:rsid w:val="00874FBA"/>
    <w:rsid w:val="008844A1"/>
    <w:rsid w:val="00887E30"/>
    <w:rsid w:val="00892472"/>
    <w:rsid w:val="00892543"/>
    <w:rsid w:val="00897E18"/>
    <w:rsid w:val="008A0493"/>
    <w:rsid w:val="008A1343"/>
    <w:rsid w:val="008A705E"/>
    <w:rsid w:val="008A7112"/>
    <w:rsid w:val="008A7CBA"/>
    <w:rsid w:val="008B2255"/>
    <w:rsid w:val="008B34B4"/>
    <w:rsid w:val="008B3769"/>
    <w:rsid w:val="008C112E"/>
    <w:rsid w:val="008C28E5"/>
    <w:rsid w:val="008C39C2"/>
    <w:rsid w:val="008C579C"/>
    <w:rsid w:val="008C6D25"/>
    <w:rsid w:val="008D155E"/>
    <w:rsid w:val="008D1D31"/>
    <w:rsid w:val="008D6737"/>
    <w:rsid w:val="008E3AFF"/>
    <w:rsid w:val="008E4048"/>
    <w:rsid w:val="008E6651"/>
    <w:rsid w:val="008F2423"/>
    <w:rsid w:val="008F37F6"/>
    <w:rsid w:val="008F5086"/>
    <w:rsid w:val="008F5200"/>
    <w:rsid w:val="008F5D14"/>
    <w:rsid w:val="00903A74"/>
    <w:rsid w:val="00907897"/>
    <w:rsid w:val="00914888"/>
    <w:rsid w:val="009319FB"/>
    <w:rsid w:val="0093591E"/>
    <w:rsid w:val="00935B80"/>
    <w:rsid w:val="00935C3B"/>
    <w:rsid w:val="00941EC1"/>
    <w:rsid w:val="00942C8D"/>
    <w:rsid w:val="00945C57"/>
    <w:rsid w:val="00950C01"/>
    <w:rsid w:val="00963504"/>
    <w:rsid w:val="00985566"/>
    <w:rsid w:val="00987C33"/>
    <w:rsid w:val="00991946"/>
    <w:rsid w:val="00992E7B"/>
    <w:rsid w:val="00994566"/>
    <w:rsid w:val="00996E71"/>
    <w:rsid w:val="0099778D"/>
    <w:rsid w:val="009A13C6"/>
    <w:rsid w:val="009A330E"/>
    <w:rsid w:val="009A60C9"/>
    <w:rsid w:val="009C59E9"/>
    <w:rsid w:val="009D1F8C"/>
    <w:rsid w:val="009D551E"/>
    <w:rsid w:val="009E1F75"/>
    <w:rsid w:val="009E34D6"/>
    <w:rsid w:val="009E6367"/>
    <w:rsid w:val="009F209F"/>
    <w:rsid w:val="00A01947"/>
    <w:rsid w:val="00A05A6F"/>
    <w:rsid w:val="00A068F8"/>
    <w:rsid w:val="00A153CE"/>
    <w:rsid w:val="00A175DF"/>
    <w:rsid w:val="00A31DF9"/>
    <w:rsid w:val="00A358BF"/>
    <w:rsid w:val="00A42914"/>
    <w:rsid w:val="00A50794"/>
    <w:rsid w:val="00A50E56"/>
    <w:rsid w:val="00A51C9E"/>
    <w:rsid w:val="00A53777"/>
    <w:rsid w:val="00A5587D"/>
    <w:rsid w:val="00A56C87"/>
    <w:rsid w:val="00A612BA"/>
    <w:rsid w:val="00A61444"/>
    <w:rsid w:val="00A618E7"/>
    <w:rsid w:val="00A63289"/>
    <w:rsid w:val="00A66A62"/>
    <w:rsid w:val="00A70ABB"/>
    <w:rsid w:val="00A713B9"/>
    <w:rsid w:val="00A74A27"/>
    <w:rsid w:val="00A7604C"/>
    <w:rsid w:val="00A778CF"/>
    <w:rsid w:val="00A81B40"/>
    <w:rsid w:val="00A820B2"/>
    <w:rsid w:val="00A8258C"/>
    <w:rsid w:val="00A83AA0"/>
    <w:rsid w:val="00A864A1"/>
    <w:rsid w:val="00A86EEA"/>
    <w:rsid w:val="00A92D44"/>
    <w:rsid w:val="00A93FE7"/>
    <w:rsid w:val="00A95B38"/>
    <w:rsid w:val="00A9743B"/>
    <w:rsid w:val="00A97909"/>
    <w:rsid w:val="00AA40C5"/>
    <w:rsid w:val="00AA54BD"/>
    <w:rsid w:val="00AA6C4C"/>
    <w:rsid w:val="00AA6CBC"/>
    <w:rsid w:val="00AB3F48"/>
    <w:rsid w:val="00AB519B"/>
    <w:rsid w:val="00AB51E9"/>
    <w:rsid w:val="00AC0333"/>
    <w:rsid w:val="00AC0E2D"/>
    <w:rsid w:val="00AC46CB"/>
    <w:rsid w:val="00AD4A09"/>
    <w:rsid w:val="00AF4B48"/>
    <w:rsid w:val="00B00683"/>
    <w:rsid w:val="00B03BDB"/>
    <w:rsid w:val="00B06E82"/>
    <w:rsid w:val="00B11485"/>
    <w:rsid w:val="00B11F20"/>
    <w:rsid w:val="00B14E58"/>
    <w:rsid w:val="00B15056"/>
    <w:rsid w:val="00B2604B"/>
    <w:rsid w:val="00B35A1B"/>
    <w:rsid w:val="00B37F9B"/>
    <w:rsid w:val="00B40091"/>
    <w:rsid w:val="00B45A82"/>
    <w:rsid w:val="00B46097"/>
    <w:rsid w:val="00B51E9F"/>
    <w:rsid w:val="00B536E9"/>
    <w:rsid w:val="00B55228"/>
    <w:rsid w:val="00B61F06"/>
    <w:rsid w:val="00B669EF"/>
    <w:rsid w:val="00B704B9"/>
    <w:rsid w:val="00B81F3F"/>
    <w:rsid w:val="00BA17E5"/>
    <w:rsid w:val="00BA48EB"/>
    <w:rsid w:val="00BA77E8"/>
    <w:rsid w:val="00BB0143"/>
    <w:rsid w:val="00BC25D9"/>
    <w:rsid w:val="00BC3162"/>
    <w:rsid w:val="00BC695C"/>
    <w:rsid w:val="00BC7613"/>
    <w:rsid w:val="00BD3C88"/>
    <w:rsid w:val="00BD495A"/>
    <w:rsid w:val="00BD765F"/>
    <w:rsid w:val="00BE5A69"/>
    <w:rsid w:val="00BE5BA1"/>
    <w:rsid w:val="00BF6CE2"/>
    <w:rsid w:val="00C02968"/>
    <w:rsid w:val="00C03BA7"/>
    <w:rsid w:val="00C15F19"/>
    <w:rsid w:val="00C22C6E"/>
    <w:rsid w:val="00C34475"/>
    <w:rsid w:val="00C45117"/>
    <w:rsid w:val="00C502FC"/>
    <w:rsid w:val="00C528F2"/>
    <w:rsid w:val="00C558C1"/>
    <w:rsid w:val="00C607A4"/>
    <w:rsid w:val="00C62BF3"/>
    <w:rsid w:val="00C64E96"/>
    <w:rsid w:val="00C726B1"/>
    <w:rsid w:val="00C80406"/>
    <w:rsid w:val="00C80F9D"/>
    <w:rsid w:val="00C91953"/>
    <w:rsid w:val="00C9689F"/>
    <w:rsid w:val="00CA4A70"/>
    <w:rsid w:val="00CA7F45"/>
    <w:rsid w:val="00CA7F57"/>
    <w:rsid w:val="00CB00BF"/>
    <w:rsid w:val="00CC3125"/>
    <w:rsid w:val="00CC5C2F"/>
    <w:rsid w:val="00CD3F4D"/>
    <w:rsid w:val="00CD617E"/>
    <w:rsid w:val="00CE0B75"/>
    <w:rsid w:val="00CE21E1"/>
    <w:rsid w:val="00CE3EF6"/>
    <w:rsid w:val="00CE4E64"/>
    <w:rsid w:val="00CE6094"/>
    <w:rsid w:val="00CF4A72"/>
    <w:rsid w:val="00CF5D6B"/>
    <w:rsid w:val="00CF6188"/>
    <w:rsid w:val="00D06BCA"/>
    <w:rsid w:val="00D06F15"/>
    <w:rsid w:val="00D10654"/>
    <w:rsid w:val="00D12550"/>
    <w:rsid w:val="00D13ADE"/>
    <w:rsid w:val="00D15E5D"/>
    <w:rsid w:val="00D166F2"/>
    <w:rsid w:val="00D170A4"/>
    <w:rsid w:val="00D17FBF"/>
    <w:rsid w:val="00D21419"/>
    <w:rsid w:val="00D25CE3"/>
    <w:rsid w:val="00D27CD0"/>
    <w:rsid w:val="00D3030D"/>
    <w:rsid w:val="00D31AD8"/>
    <w:rsid w:val="00D40FAA"/>
    <w:rsid w:val="00D464FB"/>
    <w:rsid w:val="00D51340"/>
    <w:rsid w:val="00D56504"/>
    <w:rsid w:val="00D57614"/>
    <w:rsid w:val="00D612A6"/>
    <w:rsid w:val="00D6172E"/>
    <w:rsid w:val="00D75D77"/>
    <w:rsid w:val="00D77982"/>
    <w:rsid w:val="00D77DA9"/>
    <w:rsid w:val="00D85A2D"/>
    <w:rsid w:val="00D862C2"/>
    <w:rsid w:val="00D90CDA"/>
    <w:rsid w:val="00D9627A"/>
    <w:rsid w:val="00D97E12"/>
    <w:rsid w:val="00DA5C8E"/>
    <w:rsid w:val="00DB1008"/>
    <w:rsid w:val="00DB2DBD"/>
    <w:rsid w:val="00DB6975"/>
    <w:rsid w:val="00DC6489"/>
    <w:rsid w:val="00DD6617"/>
    <w:rsid w:val="00DE0F66"/>
    <w:rsid w:val="00DE28ED"/>
    <w:rsid w:val="00DE635B"/>
    <w:rsid w:val="00DF5A5F"/>
    <w:rsid w:val="00E0009C"/>
    <w:rsid w:val="00E01C4A"/>
    <w:rsid w:val="00E032F7"/>
    <w:rsid w:val="00E0554F"/>
    <w:rsid w:val="00E12481"/>
    <w:rsid w:val="00E20E9A"/>
    <w:rsid w:val="00E219C7"/>
    <w:rsid w:val="00E21C16"/>
    <w:rsid w:val="00E229C4"/>
    <w:rsid w:val="00E2608A"/>
    <w:rsid w:val="00E35DF7"/>
    <w:rsid w:val="00E36458"/>
    <w:rsid w:val="00E4131E"/>
    <w:rsid w:val="00E41CB8"/>
    <w:rsid w:val="00E43D55"/>
    <w:rsid w:val="00E467C9"/>
    <w:rsid w:val="00E53DEC"/>
    <w:rsid w:val="00E574CA"/>
    <w:rsid w:val="00E6256C"/>
    <w:rsid w:val="00E628F3"/>
    <w:rsid w:val="00E64BA5"/>
    <w:rsid w:val="00E64CCE"/>
    <w:rsid w:val="00E66942"/>
    <w:rsid w:val="00E80D10"/>
    <w:rsid w:val="00E856CF"/>
    <w:rsid w:val="00E9166F"/>
    <w:rsid w:val="00E93042"/>
    <w:rsid w:val="00E97FDC"/>
    <w:rsid w:val="00EA53BE"/>
    <w:rsid w:val="00EB6500"/>
    <w:rsid w:val="00EC235E"/>
    <w:rsid w:val="00EC2620"/>
    <w:rsid w:val="00EC2F86"/>
    <w:rsid w:val="00EC3BB2"/>
    <w:rsid w:val="00ED0A72"/>
    <w:rsid w:val="00EE6095"/>
    <w:rsid w:val="00EE645A"/>
    <w:rsid w:val="00EE7605"/>
    <w:rsid w:val="00EF6CF5"/>
    <w:rsid w:val="00F00378"/>
    <w:rsid w:val="00F03F18"/>
    <w:rsid w:val="00F13C8F"/>
    <w:rsid w:val="00F14C96"/>
    <w:rsid w:val="00F24B6E"/>
    <w:rsid w:val="00F24F3A"/>
    <w:rsid w:val="00F33BBA"/>
    <w:rsid w:val="00F34DBA"/>
    <w:rsid w:val="00F4193C"/>
    <w:rsid w:val="00F42F66"/>
    <w:rsid w:val="00F440CC"/>
    <w:rsid w:val="00F44118"/>
    <w:rsid w:val="00F45DA6"/>
    <w:rsid w:val="00F46A27"/>
    <w:rsid w:val="00F47B6C"/>
    <w:rsid w:val="00F50A41"/>
    <w:rsid w:val="00F51045"/>
    <w:rsid w:val="00F51D80"/>
    <w:rsid w:val="00F53AE8"/>
    <w:rsid w:val="00F5438D"/>
    <w:rsid w:val="00F66EC0"/>
    <w:rsid w:val="00F67193"/>
    <w:rsid w:val="00F67F39"/>
    <w:rsid w:val="00F71F37"/>
    <w:rsid w:val="00F75D78"/>
    <w:rsid w:val="00F84DCA"/>
    <w:rsid w:val="00F90AA3"/>
    <w:rsid w:val="00F91005"/>
    <w:rsid w:val="00F93D85"/>
    <w:rsid w:val="00F95D8F"/>
    <w:rsid w:val="00FA3390"/>
    <w:rsid w:val="00FA63ED"/>
    <w:rsid w:val="00FB421B"/>
    <w:rsid w:val="00FC5F0B"/>
    <w:rsid w:val="00FD2E27"/>
    <w:rsid w:val="00FD680D"/>
    <w:rsid w:val="00FE103D"/>
    <w:rsid w:val="00FE1A85"/>
    <w:rsid w:val="00FE520B"/>
    <w:rsid w:val="00FF4239"/>
    <w:rsid w:val="00FF44E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89E2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D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5793"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548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72B1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8548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72B1"/>
    <w:rPr>
      <w:sz w:val="24"/>
      <w:szCs w:val="24"/>
    </w:rPr>
  </w:style>
  <w:style w:type="table" w:styleId="TableGrid">
    <w:name w:val="Table Grid"/>
    <w:basedOn w:val="TableNormal"/>
    <w:uiPriority w:val="99"/>
    <w:rsid w:val="00B552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1939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272B1"/>
    <w:rPr>
      <w:rFonts w:ascii="Lucida Grande" w:hAnsi="Lucida Grande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85551A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85551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72B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555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72B1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8555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2B1"/>
    <w:rPr>
      <w:rFonts w:ascii="Lucida Grande" w:hAnsi="Lucida Grande"/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C64E96"/>
    <w:pPr>
      <w:spacing w:after="120"/>
    </w:pPr>
    <w:rPr>
      <w:rFonts w:ascii="Calibri" w:hAnsi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C64E96"/>
    <w:rPr>
      <w:rFonts w:ascii="Calibri" w:hAnsi="Calibri" w:cs="Times New Roman"/>
      <w:sz w:val="22"/>
    </w:rPr>
  </w:style>
  <w:style w:type="paragraph" w:styleId="ListParagraph">
    <w:name w:val="List Paragraph"/>
    <w:basedOn w:val="Normal"/>
    <w:uiPriority w:val="99"/>
    <w:qFormat/>
    <w:rsid w:val="004449A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Revision">
    <w:name w:val="Revision"/>
    <w:hidden/>
    <w:uiPriority w:val="99"/>
    <w:semiHidden/>
    <w:rsid w:val="00D862C2"/>
    <w:rPr>
      <w:sz w:val="24"/>
      <w:szCs w:val="24"/>
    </w:rPr>
  </w:style>
  <w:style w:type="character" w:styleId="Hyperlink">
    <w:name w:val="Hyperlink"/>
    <w:basedOn w:val="DefaultParagraphFont"/>
    <w:uiPriority w:val="99"/>
    <w:rsid w:val="00F90AA3"/>
    <w:rPr>
      <w:rFonts w:cs="Times New Roman"/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F5793"/>
    <w:rPr>
      <w:rFonts w:ascii="Arial" w:hAnsi="Arial" w:cs="Arial"/>
      <w:b/>
      <w:bCs/>
      <w:kern w:val="32"/>
      <w:sz w:val="28"/>
      <w:szCs w:val="28"/>
    </w:rPr>
  </w:style>
  <w:style w:type="table" w:customStyle="1" w:styleId="LightShading-Accent11">
    <w:name w:val="Light Shading - Accent 11"/>
    <w:basedOn w:val="TableNormal"/>
    <w:uiPriority w:val="60"/>
    <w:rsid w:val="00AA6C4C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List2">
    <w:name w:val="Medium List 2"/>
    <w:basedOn w:val="TableNormal"/>
    <w:uiPriority w:val="66"/>
    <w:rsid w:val="00AA6C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AA6C4C"/>
    <w:rPr>
      <w:sz w:val="24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AA6C4C"/>
    <w:pPr>
      <w:keepNext/>
      <w:spacing w:before="240" w:after="240"/>
      <w:jc w:val="center"/>
    </w:pPr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2B181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B181B"/>
  </w:style>
  <w:style w:type="character" w:styleId="FootnoteReference">
    <w:name w:val="footnote reference"/>
    <w:basedOn w:val="DefaultParagraphFont"/>
    <w:uiPriority w:val="99"/>
    <w:semiHidden/>
    <w:unhideWhenUsed/>
    <w:rsid w:val="002B181B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4F5793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</w:rPr>
  </w:style>
  <w:style w:type="paragraph" w:styleId="TOC1">
    <w:name w:val="toc 1"/>
    <w:basedOn w:val="Normal"/>
    <w:next w:val="Normal"/>
    <w:autoRedefine/>
    <w:uiPriority w:val="39"/>
    <w:unhideWhenUsed/>
    <w:rsid w:val="004F5793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D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5793"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548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72B1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8548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72B1"/>
    <w:rPr>
      <w:sz w:val="24"/>
      <w:szCs w:val="24"/>
    </w:rPr>
  </w:style>
  <w:style w:type="table" w:styleId="TableGrid">
    <w:name w:val="Table Grid"/>
    <w:basedOn w:val="TableNormal"/>
    <w:uiPriority w:val="99"/>
    <w:rsid w:val="00B552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1939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272B1"/>
    <w:rPr>
      <w:rFonts w:ascii="Lucida Grande" w:hAnsi="Lucida Grande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85551A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85551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72B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555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72B1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8555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2B1"/>
    <w:rPr>
      <w:rFonts w:ascii="Lucida Grande" w:hAnsi="Lucida Grande"/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C64E96"/>
    <w:pPr>
      <w:spacing w:after="120"/>
    </w:pPr>
    <w:rPr>
      <w:rFonts w:ascii="Calibri" w:hAnsi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C64E96"/>
    <w:rPr>
      <w:rFonts w:ascii="Calibri" w:hAnsi="Calibri" w:cs="Times New Roman"/>
      <w:sz w:val="22"/>
    </w:rPr>
  </w:style>
  <w:style w:type="paragraph" w:styleId="ListParagraph">
    <w:name w:val="List Paragraph"/>
    <w:basedOn w:val="Normal"/>
    <w:uiPriority w:val="99"/>
    <w:qFormat/>
    <w:rsid w:val="004449A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Revision">
    <w:name w:val="Revision"/>
    <w:hidden/>
    <w:uiPriority w:val="99"/>
    <w:semiHidden/>
    <w:rsid w:val="00D862C2"/>
    <w:rPr>
      <w:sz w:val="24"/>
      <w:szCs w:val="24"/>
    </w:rPr>
  </w:style>
  <w:style w:type="character" w:styleId="Hyperlink">
    <w:name w:val="Hyperlink"/>
    <w:basedOn w:val="DefaultParagraphFont"/>
    <w:uiPriority w:val="99"/>
    <w:rsid w:val="00F90AA3"/>
    <w:rPr>
      <w:rFonts w:cs="Times New Roman"/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F5793"/>
    <w:rPr>
      <w:rFonts w:ascii="Arial" w:hAnsi="Arial" w:cs="Arial"/>
      <w:b/>
      <w:bCs/>
      <w:kern w:val="32"/>
      <w:sz w:val="28"/>
      <w:szCs w:val="28"/>
    </w:rPr>
  </w:style>
  <w:style w:type="table" w:customStyle="1" w:styleId="LightShading-Accent11">
    <w:name w:val="Light Shading - Accent 11"/>
    <w:basedOn w:val="TableNormal"/>
    <w:uiPriority w:val="60"/>
    <w:rsid w:val="00AA6C4C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List2">
    <w:name w:val="Medium List 2"/>
    <w:basedOn w:val="TableNormal"/>
    <w:uiPriority w:val="66"/>
    <w:rsid w:val="00AA6C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AA6C4C"/>
    <w:rPr>
      <w:sz w:val="24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AA6C4C"/>
    <w:pPr>
      <w:keepNext/>
      <w:spacing w:before="240" w:after="240"/>
      <w:jc w:val="center"/>
    </w:pPr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2B181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B181B"/>
  </w:style>
  <w:style w:type="character" w:styleId="FootnoteReference">
    <w:name w:val="footnote reference"/>
    <w:basedOn w:val="DefaultParagraphFont"/>
    <w:uiPriority w:val="99"/>
    <w:semiHidden/>
    <w:unhideWhenUsed/>
    <w:rsid w:val="002B181B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4F5793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</w:rPr>
  </w:style>
  <w:style w:type="paragraph" w:styleId="TOC1">
    <w:name w:val="toc 1"/>
    <w:basedOn w:val="Normal"/>
    <w:next w:val="Normal"/>
    <w:autoRedefine/>
    <w:uiPriority w:val="39"/>
    <w:unhideWhenUsed/>
    <w:rsid w:val="004F5793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572F5FD4B8A447AA67E66408BD3C37" ma:contentTypeVersion="0" ma:contentTypeDescription="Create a new document." ma:contentTypeScope="" ma:versionID="a2fb988af239be83397d1d7772bd639d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C34C4-AAF3-44C5-AA39-FC477A67F2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4197590-2444-44EC-AD41-E86B97E0B4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1194AC-EB4F-4BDE-B7E3-9CABA3B6169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5A20C9B-EF41-4FD0-9C5D-AD440683E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TranslationChecklist</vt:lpstr>
    </vt:vector>
  </TitlesOfParts>
  <Company>Noblis</Company>
  <LinksUpToDate>false</LinksUpToDate>
  <CharactersWithSpaces>4060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TranslationChecklist</dc:title>
  <dc:subject/>
  <dc:creator>MTS</dc:creator>
  <cp:keywords/>
  <dc:description/>
  <cp:lastModifiedBy>test1</cp:lastModifiedBy>
  <cp:revision>3</cp:revision>
  <dcterms:created xsi:type="dcterms:W3CDTF">2011-04-13T13:52:00Z</dcterms:created>
  <dcterms:modified xsi:type="dcterms:W3CDTF">2011-04-13T14:15:00Z</dcterms:modified>
  <cp:category/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Subject">
    <vt:lpwstr/>
  </property>
  <property fmtid="{D5CDD505-2E9C-101B-9397-08002B2CF9AE}" pid="4" name="Keywords">
    <vt:lpwstr/>
  </property>
  <property fmtid="{D5CDD505-2E9C-101B-9397-08002B2CF9AE}" pid="5" name="_Author">
    <vt:lpwstr>MTS</vt:lpwstr>
  </property>
  <property fmtid="{D5CDD505-2E9C-101B-9397-08002B2CF9AE}" pid="6" name="_Category">
    <vt:lpwstr/>
  </property>
  <property fmtid="{D5CDD505-2E9C-101B-9397-08002B2CF9AE}" pid="7" name="Categories">
    <vt:lpwstr/>
  </property>
  <property fmtid="{D5CDD505-2E9C-101B-9397-08002B2CF9AE}" pid="8" name="Approval Level">
    <vt:lpwstr/>
  </property>
  <property fmtid="{D5CDD505-2E9C-101B-9397-08002B2CF9AE}" pid="9" name="_Comments">
    <vt:lpwstr/>
  </property>
  <property fmtid="{D5CDD505-2E9C-101B-9397-08002B2CF9AE}" pid="10" name="Assigned To">
    <vt:lpwstr/>
  </property>
  <property fmtid="{D5CDD505-2E9C-101B-9397-08002B2CF9AE}" pid="11" name="ContentTypeId">
    <vt:lpwstr>0x010100EA572F5FD4B8A447AA67E66408BD3C37</vt:lpwstr>
  </property>
</Properties>
</file>