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30D" w:rsidRDefault="00FD530D" w:rsidP="00FD530D"/>
    <w:p w:rsidR="00C632E2" w:rsidRDefault="00C632E2" w:rsidP="00FD530D"/>
    <w:p w:rsidR="00C632E2" w:rsidRPr="00FD530D" w:rsidRDefault="00C632E2" w:rsidP="00FD530D"/>
    <w:p w:rsidR="00FD530D" w:rsidRPr="00FD530D" w:rsidRDefault="00FD530D" w:rsidP="00FD530D"/>
    <w:p w:rsidR="00FD530D" w:rsidRPr="00FD530D" w:rsidRDefault="00FD530D" w:rsidP="00FD530D"/>
    <w:p w:rsidR="00FD530D" w:rsidRPr="00FD530D" w:rsidRDefault="00FD530D" w:rsidP="00FD530D">
      <w:pPr>
        <w:rPr>
          <w:sz w:val="32"/>
          <w:szCs w:val="32"/>
        </w:rPr>
      </w:pPr>
      <w:r>
        <w:rPr>
          <w:sz w:val="32"/>
          <w:szCs w:val="32"/>
        </w:rPr>
        <w:t>Impact Scoring Template</w:t>
      </w:r>
    </w:p>
    <w:p w:rsidR="00FD530D" w:rsidRPr="00FD530D" w:rsidRDefault="00FD530D" w:rsidP="00FD530D">
      <w:r w:rsidRPr="00FD530D">
        <w:t>Version 1.0</w:t>
      </w:r>
    </w:p>
    <w:p w:rsidR="00FD530D" w:rsidRPr="00FD530D" w:rsidRDefault="00FD530D" w:rsidP="00FD530D"/>
    <w:p w:rsidR="00FD530D" w:rsidRPr="00FD530D" w:rsidRDefault="00FD530D" w:rsidP="00FD530D">
      <w:pPr>
        <w:jc w:val="center"/>
        <w:rPr>
          <w:b/>
        </w:rPr>
      </w:pPr>
      <w:r w:rsidRPr="00FD530D">
        <w:br w:type="page"/>
      </w:r>
      <w:r w:rsidRPr="00FD530D">
        <w:rPr>
          <w:b/>
        </w:rPr>
        <w:lastRenderedPageBreak/>
        <w:t>Revision History</w:t>
      </w:r>
    </w:p>
    <w:p w:rsidR="00FD530D" w:rsidRPr="00FD530D" w:rsidRDefault="00FD530D" w:rsidP="00FD530D">
      <w:pPr>
        <w:jc w:val="center"/>
        <w:rPr>
          <w:b/>
          <w:bCs/>
          <w:color w:va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2082"/>
        <w:gridCol w:w="4685"/>
      </w:tblGrid>
      <w:tr w:rsidR="00FD530D" w:rsidRPr="00FD530D" w:rsidTr="00770C27">
        <w:trPr>
          <w:cantSplit/>
          <w:tblHeader/>
        </w:trPr>
        <w:tc>
          <w:tcPr>
            <w:tcW w:w="924" w:type="pct"/>
            <w:shd w:val="clear" w:color="auto" w:fill="4F81BD"/>
          </w:tcPr>
          <w:p w:rsidR="00FD530D" w:rsidRPr="00FD530D" w:rsidRDefault="00FD530D" w:rsidP="00006CA8">
            <w:pPr>
              <w:jc w:val="center"/>
              <w:rPr>
                <w:b/>
                <w:bCs/>
                <w:color w:val="FFFFFF"/>
              </w:rPr>
            </w:pPr>
            <w:r w:rsidRPr="00FD530D">
              <w:rPr>
                <w:b/>
                <w:bCs/>
                <w:color w:val="FFFFFF"/>
              </w:rPr>
              <w:t>Date</w:t>
            </w:r>
          </w:p>
        </w:tc>
        <w:tc>
          <w:tcPr>
            <w:tcW w:w="543" w:type="pct"/>
            <w:shd w:val="clear" w:color="auto" w:fill="4F81BD"/>
          </w:tcPr>
          <w:p w:rsidR="00FD530D" w:rsidRPr="00FD530D" w:rsidRDefault="00FD530D" w:rsidP="00006CA8">
            <w:pPr>
              <w:jc w:val="center"/>
              <w:rPr>
                <w:b/>
                <w:bCs/>
                <w:color w:val="FFFFFF"/>
              </w:rPr>
            </w:pPr>
            <w:r w:rsidRPr="00FD530D">
              <w:rPr>
                <w:b/>
                <w:bCs/>
                <w:color w:val="FFFFFF"/>
              </w:rPr>
              <w:t>Rev</w:t>
            </w:r>
          </w:p>
        </w:tc>
        <w:tc>
          <w:tcPr>
            <w:tcW w:w="1087" w:type="pct"/>
            <w:shd w:val="clear" w:color="auto" w:fill="4F81BD"/>
          </w:tcPr>
          <w:p w:rsidR="00FD530D" w:rsidRPr="00FD530D" w:rsidRDefault="00FD530D" w:rsidP="00006CA8">
            <w:pPr>
              <w:jc w:val="center"/>
              <w:rPr>
                <w:b/>
                <w:bCs/>
                <w:color w:val="FFFFFF"/>
              </w:rPr>
            </w:pPr>
            <w:r w:rsidRPr="00FD530D">
              <w:rPr>
                <w:b/>
                <w:bCs/>
                <w:color w:val="FFFFFF"/>
              </w:rPr>
              <w:t>Author</w:t>
            </w:r>
          </w:p>
        </w:tc>
        <w:tc>
          <w:tcPr>
            <w:tcW w:w="2446" w:type="pct"/>
            <w:shd w:val="clear" w:color="auto" w:fill="4F81BD"/>
          </w:tcPr>
          <w:p w:rsidR="00FD530D" w:rsidRPr="00FD530D" w:rsidRDefault="00FD530D" w:rsidP="00006CA8">
            <w:pPr>
              <w:jc w:val="center"/>
              <w:rPr>
                <w:b/>
                <w:bCs/>
                <w:color w:val="FFFFFF"/>
              </w:rPr>
            </w:pPr>
            <w:r w:rsidRPr="00FD530D">
              <w:rPr>
                <w:b/>
                <w:bCs/>
                <w:color w:val="FFFFFF"/>
              </w:rPr>
              <w:t>Description</w:t>
            </w:r>
          </w:p>
        </w:tc>
      </w:tr>
      <w:tr w:rsidR="00FD530D" w:rsidRPr="00FD530D" w:rsidTr="00770C27">
        <w:trPr>
          <w:cantSplit/>
        </w:trPr>
        <w:tc>
          <w:tcPr>
            <w:tcW w:w="924" w:type="pct"/>
            <w:shd w:val="clear" w:color="auto" w:fill="D3DFEE"/>
          </w:tcPr>
          <w:p w:rsidR="00FD530D" w:rsidRPr="00FD530D" w:rsidRDefault="00FD530D" w:rsidP="00FD530D">
            <w:pPr>
              <w:jc w:val="center"/>
              <w:rPr>
                <w:b/>
                <w:bCs/>
              </w:rPr>
            </w:pPr>
            <w:r w:rsidRPr="00FD530D">
              <w:rPr>
                <w:b/>
                <w:bCs/>
              </w:rPr>
              <w:t>MM/DD/YY</w:t>
            </w:r>
          </w:p>
        </w:tc>
        <w:tc>
          <w:tcPr>
            <w:tcW w:w="543" w:type="pct"/>
            <w:shd w:val="clear" w:color="auto" w:fill="D3DFEE"/>
          </w:tcPr>
          <w:p w:rsidR="00FD530D" w:rsidRPr="00FD530D" w:rsidRDefault="00FD530D" w:rsidP="00FD530D">
            <w:pPr>
              <w:jc w:val="center"/>
            </w:pPr>
            <w:r w:rsidRPr="00FD530D">
              <w:t>1</w:t>
            </w: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r w:rsidR="00FD530D" w:rsidRPr="00FD530D" w:rsidTr="00770C27">
        <w:trPr>
          <w:cantSplit/>
        </w:trPr>
        <w:tc>
          <w:tcPr>
            <w:tcW w:w="924" w:type="pct"/>
            <w:shd w:val="clear" w:color="auto" w:fill="D3DFEE"/>
          </w:tcPr>
          <w:p w:rsidR="00FD530D" w:rsidRPr="00FD530D" w:rsidRDefault="00FD530D" w:rsidP="00FD530D">
            <w:pPr>
              <w:jc w:val="center"/>
              <w:rPr>
                <w:b/>
                <w:bCs/>
              </w:rPr>
            </w:pPr>
          </w:p>
        </w:tc>
        <w:tc>
          <w:tcPr>
            <w:tcW w:w="543" w:type="pct"/>
            <w:shd w:val="clear" w:color="auto" w:fill="D3DFEE"/>
          </w:tcPr>
          <w:p w:rsidR="00FD530D" w:rsidRPr="00FD530D" w:rsidRDefault="00FD530D" w:rsidP="00FD530D">
            <w:pPr>
              <w:jc w:val="center"/>
            </w:pPr>
          </w:p>
        </w:tc>
        <w:tc>
          <w:tcPr>
            <w:tcW w:w="1087" w:type="pct"/>
            <w:shd w:val="clear" w:color="auto" w:fill="D3DFEE"/>
          </w:tcPr>
          <w:p w:rsidR="00FD530D" w:rsidRPr="00FD530D" w:rsidRDefault="00FD530D" w:rsidP="00FD530D"/>
        </w:tc>
        <w:tc>
          <w:tcPr>
            <w:tcW w:w="2446" w:type="pct"/>
            <w:shd w:val="clear" w:color="auto" w:fill="D3DFEE"/>
          </w:tcPr>
          <w:p w:rsidR="00FD530D" w:rsidRPr="00FD530D" w:rsidRDefault="00FD530D" w:rsidP="00FD530D"/>
        </w:tc>
      </w:tr>
      <w:tr w:rsidR="00FD530D" w:rsidRPr="00FD530D" w:rsidTr="00770C27">
        <w:trPr>
          <w:cantSplit/>
        </w:trPr>
        <w:tc>
          <w:tcPr>
            <w:tcW w:w="924" w:type="pct"/>
          </w:tcPr>
          <w:p w:rsidR="00FD530D" w:rsidRPr="00FD530D" w:rsidRDefault="00FD530D" w:rsidP="00FD530D">
            <w:pPr>
              <w:jc w:val="center"/>
              <w:rPr>
                <w:b/>
                <w:bCs/>
              </w:rPr>
            </w:pPr>
          </w:p>
        </w:tc>
        <w:tc>
          <w:tcPr>
            <w:tcW w:w="543" w:type="pct"/>
          </w:tcPr>
          <w:p w:rsidR="00FD530D" w:rsidRPr="00FD530D" w:rsidRDefault="00FD530D" w:rsidP="00FD530D">
            <w:pPr>
              <w:jc w:val="center"/>
            </w:pPr>
          </w:p>
        </w:tc>
        <w:tc>
          <w:tcPr>
            <w:tcW w:w="1087" w:type="pct"/>
          </w:tcPr>
          <w:p w:rsidR="00FD530D" w:rsidRPr="00FD530D" w:rsidRDefault="00FD530D" w:rsidP="00FD530D"/>
        </w:tc>
        <w:tc>
          <w:tcPr>
            <w:tcW w:w="2446" w:type="pct"/>
          </w:tcPr>
          <w:p w:rsidR="00FD530D" w:rsidRPr="00FD530D" w:rsidRDefault="00FD530D" w:rsidP="00FD530D"/>
        </w:tc>
      </w:tr>
    </w:tbl>
    <w:p w:rsidR="00FD530D" w:rsidRPr="00FD530D" w:rsidRDefault="00FD530D" w:rsidP="00FD530D">
      <w:pPr>
        <w:keepNext/>
        <w:keepLines/>
        <w:spacing w:before="480" w:line="276" w:lineRule="auto"/>
        <w:jc w:val="center"/>
        <w:rPr>
          <w:b/>
          <w:bCs/>
          <w:sz w:val="28"/>
          <w:szCs w:val="28"/>
        </w:rPr>
      </w:pPr>
      <w:r w:rsidRPr="00FD530D">
        <w:rPr>
          <w:rFonts w:ascii="Cambria" w:hAnsi="Cambria"/>
          <w:sz w:val="28"/>
          <w:szCs w:val="28"/>
        </w:rPr>
        <w:br w:type="page"/>
      </w:r>
    </w:p>
    <w:sdt>
      <w:sdtPr>
        <w:rPr>
          <w:rFonts w:ascii="Times New Roman" w:eastAsia="Times New Roman" w:hAnsi="Times New Roman" w:cs="Times New Roman"/>
          <w:b w:val="0"/>
          <w:bCs w:val="0"/>
          <w:color w:val="auto"/>
          <w:sz w:val="24"/>
          <w:szCs w:val="24"/>
        </w:rPr>
        <w:id w:val="186505036"/>
        <w:docPartObj>
          <w:docPartGallery w:val="Table of Contents"/>
          <w:docPartUnique/>
        </w:docPartObj>
      </w:sdtPr>
      <w:sdtEndPr/>
      <w:sdtContent>
        <w:p w:rsidR="00CC268E" w:rsidRDefault="00CC268E" w:rsidP="00CC268E">
          <w:pPr>
            <w:pStyle w:val="TOCHeading"/>
            <w:jc w:val="center"/>
          </w:pPr>
          <w:r w:rsidRPr="00CC268E">
            <w:rPr>
              <w:rFonts w:ascii="Times New Roman" w:eastAsia="Times New Roman" w:hAnsi="Times New Roman" w:cs="Times New Roman"/>
              <w:color w:val="auto"/>
            </w:rPr>
            <w:t>Table of Contents</w:t>
          </w:r>
        </w:p>
        <w:p w:rsidR="00CC268E" w:rsidRPr="00CC268E" w:rsidRDefault="002D0E56">
          <w:pPr>
            <w:pStyle w:val="TOC1"/>
            <w:tabs>
              <w:tab w:val="left" w:pos="440"/>
              <w:tab w:val="right" w:leader="dot" w:pos="9350"/>
            </w:tabs>
            <w:rPr>
              <w:rFonts w:ascii="Verdana" w:eastAsiaTheme="minorEastAsia" w:hAnsi="Verdana" w:cstheme="minorBidi"/>
              <w:noProof/>
              <w:sz w:val="20"/>
              <w:szCs w:val="20"/>
            </w:rPr>
          </w:pPr>
          <w:r w:rsidRPr="00CC268E">
            <w:rPr>
              <w:rFonts w:ascii="Verdana" w:hAnsi="Verdana"/>
              <w:sz w:val="20"/>
              <w:szCs w:val="20"/>
            </w:rPr>
            <w:fldChar w:fldCharType="begin"/>
          </w:r>
          <w:r w:rsidR="00CC268E" w:rsidRPr="00CC268E">
            <w:rPr>
              <w:rFonts w:ascii="Verdana" w:hAnsi="Verdana"/>
              <w:sz w:val="20"/>
              <w:szCs w:val="20"/>
            </w:rPr>
            <w:instrText xml:space="preserve"> TOC \o "1-3" \h \z \u </w:instrText>
          </w:r>
          <w:r w:rsidRPr="00CC268E">
            <w:rPr>
              <w:rFonts w:ascii="Verdana" w:hAnsi="Verdana"/>
              <w:sz w:val="20"/>
              <w:szCs w:val="20"/>
            </w:rPr>
            <w:fldChar w:fldCharType="separate"/>
          </w:r>
          <w:hyperlink w:anchor="_Toc278536804" w:history="1">
            <w:r w:rsidR="00CC268E" w:rsidRPr="00CC268E">
              <w:rPr>
                <w:rStyle w:val="Hyperlink"/>
                <w:rFonts w:ascii="Verdana" w:hAnsi="Verdana"/>
                <w:noProof/>
                <w:sz w:val="20"/>
                <w:szCs w:val="20"/>
              </w:rPr>
              <w:t>1.</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Purpose</w:t>
            </w:r>
            <w:r w:rsidR="00CC268E" w:rsidRPr="00CC268E">
              <w:rPr>
                <w:rFonts w:ascii="Verdana" w:hAnsi="Verdana"/>
                <w:noProof/>
                <w:webHidden/>
                <w:sz w:val="20"/>
                <w:szCs w:val="20"/>
              </w:rPr>
              <w:tab/>
            </w:r>
            <w:r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_Toc278536804 \h </w:instrText>
            </w:r>
            <w:r w:rsidRPr="00CC268E">
              <w:rPr>
                <w:rFonts w:ascii="Verdana" w:hAnsi="Verdana"/>
                <w:noProof/>
                <w:webHidden/>
                <w:sz w:val="20"/>
                <w:szCs w:val="20"/>
              </w:rPr>
            </w:r>
            <w:r w:rsidRPr="00CC268E">
              <w:rPr>
                <w:rFonts w:ascii="Verdana" w:hAnsi="Verdana"/>
                <w:noProof/>
                <w:webHidden/>
                <w:sz w:val="20"/>
                <w:szCs w:val="20"/>
              </w:rPr>
              <w:fldChar w:fldCharType="separate"/>
            </w:r>
            <w:r w:rsidR="00770C27">
              <w:rPr>
                <w:rFonts w:ascii="Verdana" w:hAnsi="Verdana"/>
                <w:noProof/>
                <w:webHidden/>
                <w:sz w:val="20"/>
                <w:szCs w:val="20"/>
              </w:rPr>
              <w:t>4</w:t>
            </w:r>
            <w:r w:rsidRPr="00CC268E">
              <w:rPr>
                <w:rFonts w:ascii="Verdana" w:hAnsi="Verdana"/>
                <w:noProof/>
                <w:webHidden/>
                <w:sz w:val="20"/>
                <w:szCs w:val="20"/>
              </w:rPr>
              <w:fldChar w:fldCharType="end"/>
            </w:r>
          </w:hyperlink>
        </w:p>
        <w:p w:rsidR="00CC268E" w:rsidRPr="00CC268E" w:rsidRDefault="005269DC">
          <w:pPr>
            <w:pStyle w:val="TOC1"/>
            <w:tabs>
              <w:tab w:val="left" w:pos="440"/>
              <w:tab w:val="right" w:leader="dot" w:pos="9350"/>
            </w:tabs>
            <w:rPr>
              <w:rFonts w:ascii="Verdana" w:eastAsiaTheme="minorEastAsia" w:hAnsi="Verdana" w:cstheme="minorBidi"/>
              <w:noProof/>
              <w:sz w:val="20"/>
              <w:szCs w:val="20"/>
            </w:rPr>
          </w:pPr>
          <w:hyperlink w:anchor="_Toc278536805" w:history="1">
            <w:r w:rsidR="00CC268E" w:rsidRPr="00CC268E">
              <w:rPr>
                <w:rStyle w:val="Hyperlink"/>
                <w:rFonts w:ascii="Verdana" w:hAnsi="Verdana"/>
                <w:noProof/>
                <w:sz w:val="20"/>
                <w:szCs w:val="20"/>
              </w:rPr>
              <w:t>2.</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Impact Analysis Scoring Framework</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_Toc278536805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4</w:t>
            </w:r>
            <w:r w:rsidR="002D0E56" w:rsidRPr="00CC268E">
              <w:rPr>
                <w:rFonts w:ascii="Verdana" w:hAnsi="Verdana"/>
                <w:noProof/>
                <w:webHidden/>
                <w:sz w:val="20"/>
                <w:szCs w:val="20"/>
              </w:rPr>
              <w:fldChar w:fldCharType="end"/>
            </w:r>
          </w:hyperlink>
        </w:p>
        <w:p w:rsidR="00CC268E" w:rsidRPr="00CC268E" w:rsidRDefault="005269DC">
          <w:pPr>
            <w:pStyle w:val="TOC1"/>
            <w:tabs>
              <w:tab w:val="left" w:pos="660"/>
              <w:tab w:val="right" w:leader="dot" w:pos="9350"/>
            </w:tabs>
            <w:rPr>
              <w:rFonts w:ascii="Verdana" w:eastAsiaTheme="minorEastAsia" w:hAnsi="Verdana" w:cstheme="minorBidi"/>
              <w:noProof/>
              <w:sz w:val="20"/>
              <w:szCs w:val="20"/>
            </w:rPr>
          </w:pPr>
          <w:hyperlink w:anchor="_Toc278536806" w:history="1">
            <w:r w:rsidR="00CC268E" w:rsidRPr="00CC268E">
              <w:rPr>
                <w:rStyle w:val="Hyperlink"/>
                <w:rFonts w:ascii="Verdana" w:hAnsi="Verdana"/>
                <w:noProof/>
                <w:sz w:val="20"/>
                <w:szCs w:val="20"/>
              </w:rPr>
              <w:t>2.1.</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Impact Score Calculation</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_Toc278536806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4</w:t>
            </w:r>
            <w:r w:rsidR="002D0E56" w:rsidRPr="00CC268E">
              <w:rPr>
                <w:rFonts w:ascii="Verdana" w:hAnsi="Verdana"/>
                <w:noProof/>
                <w:webHidden/>
                <w:sz w:val="20"/>
                <w:szCs w:val="20"/>
              </w:rPr>
              <w:fldChar w:fldCharType="end"/>
            </w:r>
          </w:hyperlink>
        </w:p>
        <w:p w:rsidR="00CC268E" w:rsidRPr="00CC268E" w:rsidRDefault="005269DC">
          <w:pPr>
            <w:pStyle w:val="TOC1"/>
            <w:tabs>
              <w:tab w:val="left" w:pos="660"/>
              <w:tab w:val="right" w:leader="dot" w:pos="9350"/>
            </w:tabs>
            <w:rPr>
              <w:rFonts w:ascii="Verdana" w:eastAsiaTheme="minorEastAsia" w:hAnsi="Verdana" w:cstheme="minorBidi"/>
              <w:noProof/>
              <w:sz w:val="20"/>
              <w:szCs w:val="20"/>
            </w:rPr>
          </w:pPr>
          <w:hyperlink w:anchor="_Toc278536807" w:history="1">
            <w:r w:rsidR="00CC268E" w:rsidRPr="00CC268E">
              <w:rPr>
                <w:rStyle w:val="Hyperlink"/>
                <w:rFonts w:ascii="Verdana" w:hAnsi="Verdana"/>
                <w:noProof/>
                <w:sz w:val="20"/>
                <w:szCs w:val="20"/>
              </w:rPr>
              <w:t>2.2.</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Risk Score</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_Toc278536807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4</w:t>
            </w:r>
            <w:r w:rsidR="002D0E56" w:rsidRPr="00CC268E">
              <w:rPr>
                <w:rFonts w:ascii="Verdana" w:hAnsi="Verdana"/>
                <w:noProof/>
                <w:webHidden/>
                <w:sz w:val="20"/>
                <w:szCs w:val="20"/>
              </w:rPr>
              <w:fldChar w:fldCharType="end"/>
            </w:r>
          </w:hyperlink>
        </w:p>
        <w:p w:rsidR="00CC268E" w:rsidRPr="00CC268E" w:rsidRDefault="005269DC">
          <w:pPr>
            <w:pStyle w:val="TOC1"/>
            <w:tabs>
              <w:tab w:val="left" w:pos="660"/>
              <w:tab w:val="right" w:leader="dot" w:pos="9350"/>
            </w:tabs>
            <w:rPr>
              <w:rFonts w:ascii="Verdana" w:eastAsiaTheme="minorEastAsia" w:hAnsi="Verdana" w:cstheme="minorBidi"/>
              <w:noProof/>
              <w:sz w:val="20"/>
              <w:szCs w:val="20"/>
            </w:rPr>
          </w:pPr>
          <w:hyperlink w:anchor="_Toc278536808" w:history="1">
            <w:r w:rsidR="00CC268E" w:rsidRPr="00CC268E">
              <w:rPr>
                <w:rStyle w:val="Hyperlink"/>
                <w:rFonts w:ascii="Verdana" w:hAnsi="Verdana"/>
                <w:noProof/>
                <w:sz w:val="20"/>
                <w:szCs w:val="20"/>
              </w:rPr>
              <w:t>2.3.</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Work Effort (WE) Score</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_Toc278536808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6</w:t>
            </w:r>
            <w:r w:rsidR="002D0E56" w:rsidRPr="00CC268E">
              <w:rPr>
                <w:rFonts w:ascii="Verdana" w:hAnsi="Verdana"/>
                <w:noProof/>
                <w:webHidden/>
                <w:sz w:val="20"/>
                <w:szCs w:val="20"/>
              </w:rPr>
              <w:fldChar w:fldCharType="end"/>
            </w:r>
          </w:hyperlink>
        </w:p>
        <w:p w:rsidR="00CC268E" w:rsidRPr="00CC268E" w:rsidRDefault="005269DC">
          <w:pPr>
            <w:pStyle w:val="TOC1"/>
            <w:tabs>
              <w:tab w:val="left" w:pos="660"/>
              <w:tab w:val="right" w:leader="dot" w:pos="9350"/>
            </w:tabs>
            <w:rPr>
              <w:rFonts w:ascii="Verdana" w:eastAsiaTheme="minorEastAsia" w:hAnsi="Verdana" w:cstheme="minorBidi"/>
              <w:noProof/>
              <w:sz w:val="20"/>
              <w:szCs w:val="20"/>
            </w:rPr>
          </w:pPr>
          <w:hyperlink w:anchor="_Toc278536809" w:history="1">
            <w:r w:rsidR="00CC268E" w:rsidRPr="00CC268E">
              <w:rPr>
                <w:rStyle w:val="Hyperlink"/>
                <w:rFonts w:ascii="Verdana" w:hAnsi="Verdana"/>
                <w:noProof/>
                <w:sz w:val="20"/>
                <w:szCs w:val="20"/>
              </w:rPr>
              <w:t>2.4.</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Impact Score</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_Toc278536809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7</w:t>
            </w:r>
            <w:r w:rsidR="002D0E56" w:rsidRPr="00CC268E">
              <w:rPr>
                <w:rFonts w:ascii="Verdana" w:hAnsi="Verdana"/>
                <w:noProof/>
                <w:webHidden/>
                <w:sz w:val="20"/>
                <w:szCs w:val="20"/>
              </w:rPr>
              <w:fldChar w:fldCharType="end"/>
            </w:r>
          </w:hyperlink>
        </w:p>
        <w:p w:rsidR="00CC268E" w:rsidRPr="00CC268E" w:rsidRDefault="005269DC">
          <w:pPr>
            <w:pStyle w:val="TOC1"/>
            <w:tabs>
              <w:tab w:val="left" w:pos="660"/>
              <w:tab w:val="right" w:leader="dot" w:pos="9350"/>
            </w:tabs>
            <w:rPr>
              <w:rFonts w:ascii="Verdana" w:eastAsiaTheme="minorEastAsia" w:hAnsi="Verdana" w:cstheme="minorBidi"/>
              <w:noProof/>
              <w:sz w:val="20"/>
              <w:szCs w:val="20"/>
            </w:rPr>
          </w:pPr>
          <w:hyperlink w:anchor="_Toc278536810" w:history="1">
            <w:r w:rsidR="00CC268E" w:rsidRPr="00CC268E">
              <w:rPr>
                <w:rStyle w:val="Hyperlink"/>
                <w:rFonts w:ascii="Verdana" w:hAnsi="Verdana"/>
                <w:noProof/>
                <w:sz w:val="20"/>
                <w:szCs w:val="20"/>
              </w:rPr>
              <w:t>2.5.</w:t>
            </w:r>
            <w:r w:rsidR="00CC268E" w:rsidRPr="00CC268E">
              <w:rPr>
                <w:rFonts w:ascii="Verdana" w:eastAsiaTheme="minorEastAsia" w:hAnsi="Verdana" w:cstheme="minorBidi"/>
                <w:noProof/>
                <w:sz w:val="20"/>
                <w:szCs w:val="20"/>
              </w:rPr>
              <w:tab/>
            </w:r>
            <w:r w:rsidR="00CC268E" w:rsidRPr="00CC268E">
              <w:rPr>
                <w:rStyle w:val="Hyperlink"/>
                <w:rFonts w:ascii="Verdana" w:hAnsi="Verdana"/>
                <w:noProof/>
                <w:sz w:val="20"/>
                <w:szCs w:val="20"/>
              </w:rPr>
              <w:t>MITA Business Area Impact Score Calculation</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_Toc278536810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8</w:t>
            </w:r>
            <w:r w:rsidR="002D0E56" w:rsidRPr="00CC268E">
              <w:rPr>
                <w:rFonts w:ascii="Verdana" w:hAnsi="Verdana"/>
                <w:noProof/>
                <w:webHidden/>
                <w:sz w:val="20"/>
                <w:szCs w:val="20"/>
              </w:rPr>
              <w:fldChar w:fldCharType="end"/>
            </w:r>
          </w:hyperlink>
        </w:p>
        <w:p w:rsidR="00CC268E" w:rsidRDefault="002D0E56">
          <w:r w:rsidRPr="00CC268E">
            <w:rPr>
              <w:rFonts w:ascii="Verdana" w:hAnsi="Verdana"/>
              <w:sz w:val="20"/>
              <w:szCs w:val="20"/>
            </w:rPr>
            <w:fldChar w:fldCharType="end"/>
          </w:r>
        </w:p>
      </w:sdtContent>
    </w:sdt>
    <w:p w:rsidR="00CC268E" w:rsidRPr="00CC268E" w:rsidRDefault="00CC268E" w:rsidP="00CC268E">
      <w:pPr>
        <w:keepNext/>
        <w:keepLines/>
        <w:spacing w:before="480" w:line="276" w:lineRule="auto"/>
        <w:jc w:val="center"/>
        <w:rPr>
          <w:b/>
          <w:bCs/>
          <w:sz w:val="28"/>
          <w:szCs w:val="28"/>
        </w:rPr>
      </w:pPr>
      <w:r w:rsidRPr="00CC268E">
        <w:rPr>
          <w:b/>
          <w:bCs/>
          <w:sz w:val="28"/>
          <w:szCs w:val="28"/>
        </w:rPr>
        <w:t>List of Tables</w:t>
      </w:r>
    </w:p>
    <w:p w:rsidR="00CC268E" w:rsidRPr="00CC268E" w:rsidRDefault="00CC268E" w:rsidP="00CC268E"/>
    <w:p w:rsidR="00CC268E" w:rsidRPr="00CC268E" w:rsidRDefault="002D0E56">
      <w:pPr>
        <w:pStyle w:val="TableofFigures"/>
        <w:tabs>
          <w:tab w:val="right" w:leader="dot" w:pos="9350"/>
        </w:tabs>
        <w:rPr>
          <w:rFonts w:ascii="Verdana" w:hAnsi="Verdana"/>
          <w:noProof/>
          <w:sz w:val="20"/>
          <w:szCs w:val="20"/>
        </w:rPr>
      </w:pPr>
      <w:r w:rsidRPr="00CC268E">
        <w:rPr>
          <w:rFonts w:ascii="Verdana" w:hAnsi="Verdana"/>
          <w:sz w:val="20"/>
          <w:szCs w:val="20"/>
        </w:rPr>
        <w:fldChar w:fldCharType="begin"/>
      </w:r>
      <w:r w:rsidR="00CC268E" w:rsidRPr="00CC268E">
        <w:rPr>
          <w:rFonts w:ascii="Verdana" w:hAnsi="Verdana"/>
          <w:sz w:val="20"/>
          <w:szCs w:val="20"/>
        </w:rPr>
        <w:instrText xml:space="preserve"> TOC \h \z \c "Table" </w:instrText>
      </w:r>
      <w:r w:rsidRPr="00CC268E">
        <w:rPr>
          <w:rFonts w:ascii="Verdana" w:hAnsi="Verdana"/>
          <w:sz w:val="20"/>
          <w:szCs w:val="20"/>
        </w:rPr>
        <w:fldChar w:fldCharType="separate"/>
      </w:r>
      <w:hyperlink w:anchor="_Toc278536775" w:history="1">
        <w:r w:rsidR="00CC268E" w:rsidRPr="00CC268E">
          <w:rPr>
            <w:rStyle w:val="Hyperlink"/>
            <w:rFonts w:ascii="Verdana" w:eastAsiaTheme="majorEastAsia" w:hAnsi="Verdana"/>
            <w:noProof/>
            <w:sz w:val="20"/>
            <w:szCs w:val="20"/>
          </w:rPr>
          <w:t>Table 1: Likelihood of Occurrence Values</w:t>
        </w:r>
        <w:r w:rsidR="00CC268E" w:rsidRPr="00CC268E">
          <w:rPr>
            <w:rFonts w:ascii="Verdana" w:hAnsi="Verdana"/>
            <w:noProof/>
            <w:webHidden/>
            <w:sz w:val="20"/>
            <w:szCs w:val="20"/>
          </w:rPr>
          <w:tab/>
        </w:r>
        <w:r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_Toc278536775 \h </w:instrText>
        </w:r>
        <w:r w:rsidRPr="00CC268E">
          <w:rPr>
            <w:rFonts w:ascii="Verdana" w:hAnsi="Verdana"/>
            <w:noProof/>
            <w:webHidden/>
            <w:sz w:val="20"/>
            <w:szCs w:val="20"/>
          </w:rPr>
        </w:r>
        <w:r w:rsidRPr="00CC268E">
          <w:rPr>
            <w:rFonts w:ascii="Verdana" w:hAnsi="Verdana"/>
            <w:noProof/>
            <w:webHidden/>
            <w:sz w:val="20"/>
            <w:szCs w:val="20"/>
          </w:rPr>
          <w:fldChar w:fldCharType="separate"/>
        </w:r>
        <w:r w:rsidR="00770C27">
          <w:rPr>
            <w:rFonts w:ascii="Verdana" w:hAnsi="Verdana"/>
            <w:noProof/>
            <w:webHidden/>
            <w:sz w:val="20"/>
            <w:szCs w:val="20"/>
          </w:rPr>
          <w:t>5</w:t>
        </w:r>
        <w:r w:rsidRPr="00CC268E">
          <w:rPr>
            <w:rFonts w:ascii="Verdana" w:hAnsi="Verdana"/>
            <w:noProof/>
            <w:webHidden/>
            <w:sz w:val="20"/>
            <w:szCs w:val="20"/>
          </w:rPr>
          <w:fldChar w:fldCharType="end"/>
        </w:r>
      </w:hyperlink>
    </w:p>
    <w:p w:rsidR="00CC268E" w:rsidRPr="00CC268E" w:rsidRDefault="005269DC">
      <w:pPr>
        <w:pStyle w:val="TableofFigures"/>
        <w:tabs>
          <w:tab w:val="right" w:leader="dot" w:pos="9350"/>
        </w:tabs>
        <w:rPr>
          <w:rFonts w:ascii="Verdana" w:hAnsi="Verdana"/>
          <w:noProof/>
          <w:sz w:val="20"/>
          <w:szCs w:val="20"/>
        </w:rPr>
      </w:pPr>
      <w:hyperlink w:anchor="_Toc278536776" w:history="1">
        <w:r w:rsidR="00CC268E" w:rsidRPr="00CC268E">
          <w:rPr>
            <w:rStyle w:val="Hyperlink"/>
            <w:rFonts w:ascii="Verdana" w:eastAsiaTheme="majorEastAsia" w:hAnsi="Verdana"/>
            <w:noProof/>
            <w:sz w:val="20"/>
            <w:szCs w:val="20"/>
          </w:rPr>
          <w:t>Table 2: Occurrence Severity</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_Toc278536776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5</w:t>
        </w:r>
        <w:r w:rsidR="002D0E56" w:rsidRPr="00CC268E">
          <w:rPr>
            <w:rFonts w:ascii="Verdana" w:hAnsi="Verdana"/>
            <w:noProof/>
            <w:webHidden/>
            <w:sz w:val="20"/>
            <w:szCs w:val="20"/>
          </w:rPr>
          <w:fldChar w:fldCharType="end"/>
        </w:r>
      </w:hyperlink>
    </w:p>
    <w:p w:rsidR="00CC268E" w:rsidRPr="00CC268E" w:rsidRDefault="005269DC">
      <w:pPr>
        <w:pStyle w:val="TableofFigures"/>
        <w:tabs>
          <w:tab w:val="right" w:leader="dot" w:pos="9350"/>
        </w:tabs>
        <w:rPr>
          <w:rFonts w:ascii="Verdana" w:hAnsi="Verdana"/>
          <w:noProof/>
          <w:sz w:val="20"/>
          <w:szCs w:val="20"/>
        </w:rPr>
      </w:pPr>
      <w:hyperlink w:anchor="_Toc278536777" w:history="1">
        <w:r w:rsidR="00CC268E" w:rsidRPr="00CC268E">
          <w:rPr>
            <w:rStyle w:val="Hyperlink"/>
            <w:rFonts w:ascii="Verdana" w:eastAsiaTheme="majorEastAsia" w:hAnsi="Verdana"/>
            <w:noProof/>
            <w:sz w:val="20"/>
            <w:szCs w:val="20"/>
          </w:rPr>
          <w:t>Table 3: Risk Levels</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_Toc278536777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6</w:t>
        </w:r>
        <w:r w:rsidR="002D0E56" w:rsidRPr="00CC268E">
          <w:rPr>
            <w:rFonts w:ascii="Verdana" w:hAnsi="Verdana"/>
            <w:noProof/>
            <w:webHidden/>
            <w:sz w:val="20"/>
            <w:szCs w:val="20"/>
          </w:rPr>
          <w:fldChar w:fldCharType="end"/>
        </w:r>
      </w:hyperlink>
    </w:p>
    <w:p w:rsidR="00CC268E" w:rsidRPr="00CC268E" w:rsidRDefault="005269DC">
      <w:pPr>
        <w:pStyle w:val="TableofFigures"/>
        <w:tabs>
          <w:tab w:val="right" w:leader="dot" w:pos="9350"/>
        </w:tabs>
        <w:rPr>
          <w:rFonts w:ascii="Verdana" w:hAnsi="Verdana"/>
          <w:noProof/>
          <w:sz w:val="20"/>
          <w:szCs w:val="20"/>
        </w:rPr>
      </w:pPr>
      <w:hyperlink w:anchor="_Toc278536778" w:history="1">
        <w:r w:rsidR="00CC268E" w:rsidRPr="00CC268E">
          <w:rPr>
            <w:rStyle w:val="Hyperlink"/>
            <w:rFonts w:ascii="Verdana" w:eastAsiaTheme="majorEastAsia" w:hAnsi="Verdana"/>
            <w:noProof/>
            <w:sz w:val="20"/>
            <w:szCs w:val="20"/>
          </w:rPr>
          <w:t>Table 4: Definitions of Work Effort Terms</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_Toc278536778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6</w:t>
        </w:r>
        <w:r w:rsidR="002D0E56" w:rsidRPr="00CC268E">
          <w:rPr>
            <w:rFonts w:ascii="Verdana" w:hAnsi="Verdana"/>
            <w:noProof/>
            <w:webHidden/>
            <w:sz w:val="20"/>
            <w:szCs w:val="20"/>
          </w:rPr>
          <w:fldChar w:fldCharType="end"/>
        </w:r>
      </w:hyperlink>
    </w:p>
    <w:p w:rsidR="00CC268E" w:rsidRPr="00CC268E" w:rsidRDefault="005269DC">
      <w:pPr>
        <w:pStyle w:val="TableofFigures"/>
        <w:tabs>
          <w:tab w:val="right" w:leader="dot" w:pos="9350"/>
        </w:tabs>
        <w:rPr>
          <w:rFonts w:ascii="Verdana" w:hAnsi="Verdana"/>
          <w:noProof/>
          <w:sz w:val="20"/>
          <w:szCs w:val="20"/>
        </w:rPr>
      </w:pPr>
      <w:hyperlink w:anchor="_Toc278536779" w:history="1">
        <w:r w:rsidR="00CC268E" w:rsidRPr="00CC268E">
          <w:rPr>
            <w:rStyle w:val="Hyperlink"/>
            <w:rFonts w:ascii="Verdana" w:eastAsiaTheme="majorEastAsia" w:hAnsi="Verdana"/>
            <w:noProof/>
            <w:sz w:val="20"/>
            <w:szCs w:val="20"/>
          </w:rPr>
          <w:t>Table 5: Work Effort Scoring for Transition and Steady State Phases</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_Toc278536779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7</w:t>
        </w:r>
        <w:r w:rsidR="002D0E56" w:rsidRPr="00CC268E">
          <w:rPr>
            <w:rFonts w:ascii="Verdana" w:hAnsi="Verdana"/>
            <w:noProof/>
            <w:webHidden/>
            <w:sz w:val="20"/>
            <w:szCs w:val="20"/>
          </w:rPr>
          <w:fldChar w:fldCharType="end"/>
        </w:r>
      </w:hyperlink>
    </w:p>
    <w:p w:rsidR="00CC268E" w:rsidRPr="00CC268E" w:rsidRDefault="005269DC">
      <w:pPr>
        <w:pStyle w:val="TableofFigures"/>
        <w:tabs>
          <w:tab w:val="right" w:leader="dot" w:pos="9350"/>
        </w:tabs>
        <w:rPr>
          <w:rFonts w:ascii="Verdana" w:hAnsi="Verdana"/>
          <w:noProof/>
          <w:sz w:val="20"/>
          <w:szCs w:val="20"/>
        </w:rPr>
      </w:pPr>
      <w:hyperlink w:anchor="_Toc278536780" w:history="1">
        <w:r w:rsidR="00CC268E" w:rsidRPr="00CC268E">
          <w:rPr>
            <w:rStyle w:val="Hyperlink"/>
            <w:rFonts w:ascii="Verdana" w:eastAsiaTheme="majorEastAsia" w:hAnsi="Verdana"/>
            <w:noProof/>
            <w:sz w:val="20"/>
            <w:szCs w:val="20"/>
          </w:rPr>
          <w:t>Table 6: Impact Classification per Risk</w:t>
        </w:r>
        <w:r w:rsidR="00CC268E" w:rsidRPr="00CC268E">
          <w:rPr>
            <w:rFonts w:ascii="Verdana" w:hAnsi="Verdana"/>
            <w:noProof/>
            <w:webHidden/>
            <w:sz w:val="20"/>
            <w:szCs w:val="20"/>
          </w:rPr>
          <w:tab/>
        </w:r>
        <w:r w:rsidR="002D0E56" w:rsidRPr="00CC268E">
          <w:rPr>
            <w:rFonts w:ascii="Verdana" w:hAnsi="Verdana"/>
            <w:noProof/>
            <w:webHidden/>
            <w:sz w:val="20"/>
            <w:szCs w:val="20"/>
          </w:rPr>
          <w:fldChar w:fldCharType="begin"/>
        </w:r>
        <w:r w:rsidR="00CC268E" w:rsidRPr="00CC268E">
          <w:rPr>
            <w:rFonts w:ascii="Verdana" w:hAnsi="Verdana"/>
            <w:noProof/>
            <w:webHidden/>
            <w:sz w:val="20"/>
            <w:szCs w:val="20"/>
          </w:rPr>
          <w:instrText xml:space="preserve"> PAGEREF _Toc278536780 \h </w:instrText>
        </w:r>
        <w:r w:rsidR="002D0E56" w:rsidRPr="00CC268E">
          <w:rPr>
            <w:rFonts w:ascii="Verdana" w:hAnsi="Verdana"/>
            <w:noProof/>
            <w:webHidden/>
            <w:sz w:val="20"/>
            <w:szCs w:val="20"/>
          </w:rPr>
        </w:r>
        <w:r w:rsidR="002D0E56" w:rsidRPr="00CC268E">
          <w:rPr>
            <w:rFonts w:ascii="Verdana" w:hAnsi="Verdana"/>
            <w:noProof/>
            <w:webHidden/>
            <w:sz w:val="20"/>
            <w:szCs w:val="20"/>
          </w:rPr>
          <w:fldChar w:fldCharType="separate"/>
        </w:r>
        <w:r w:rsidR="00770C27">
          <w:rPr>
            <w:rFonts w:ascii="Verdana" w:hAnsi="Verdana"/>
            <w:noProof/>
            <w:webHidden/>
            <w:sz w:val="20"/>
            <w:szCs w:val="20"/>
          </w:rPr>
          <w:t>7</w:t>
        </w:r>
        <w:r w:rsidR="002D0E56" w:rsidRPr="00CC268E">
          <w:rPr>
            <w:rFonts w:ascii="Verdana" w:hAnsi="Verdana"/>
            <w:noProof/>
            <w:webHidden/>
            <w:sz w:val="20"/>
            <w:szCs w:val="20"/>
          </w:rPr>
          <w:fldChar w:fldCharType="end"/>
        </w:r>
      </w:hyperlink>
    </w:p>
    <w:p w:rsidR="00FD530D" w:rsidRDefault="002D0E56" w:rsidP="00FD530D">
      <w:pPr>
        <w:rPr>
          <w:rFonts w:ascii="Verdana" w:hAnsi="Verdana"/>
          <w:sz w:val="20"/>
          <w:szCs w:val="20"/>
        </w:rPr>
        <w:sectPr w:rsidR="00FD530D" w:rsidSect="00006CA8">
          <w:headerReference w:type="default" r:id="rId12"/>
          <w:footerReference w:type="default" r:id="rId13"/>
          <w:pgSz w:w="12240" w:h="15840" w:code="1"/>
          <w:pgMar w:top="1440" w:right="1440" w:bottom="1440" w:left="1440" w:header="720" w:footer="720" w:gutter="0"/>
          <w:cols w:space="720"/>
          <w:docGrid w:linePitch="360"/>
        </w:sectPr>
      </w:pPr>
      <w:r w:rsidRPr="00CC268E">
        <w:rPr>
          <w:rFonts w:ascii="Verdana" w:hAnsi="Verdana"/>
          <w:sz w:val="20"/>
          <w:szCs w:val="20"/>
        </w:rPr>
        <w:fldChar w:fldCharType="end"/>
      </w:r>
    </w:p>
    <w:p w:rsidR="00FD530D" w:rsidRDefault="00FD530D" w:rsidP="0031400B">
      <w:pPr>
        <w:pStyle w:val="Heading1"/>
      </w:pPr>
      <w:bookmarkStart w:id="0" w:name="_Toc278536804"/>
      <w:r>
        <w:lastRenderedPageBreak/>
        <w:t>Purpose</w:t>
      </w:r>
      <w:bookmarkEnd w:id="0"/>
    </w:p>
    <w:p w:rsidR="00FD530D" w:rsidRDefault="00FD530D" w:rsidP="00FD530D">
      <w:r>
        <w:t>The purpose of the Impact Scoring Template is to provide a sample framework an SMA might employ when determining the ICD-10 impact</w:t>
      </w:r>
      <w:r w:rsidR="00B32CE4">
        <w:t>s</w:t>
      </w:r>
      <w:r>
        <w:t xml:space="preserve"> and provid</w:t>
      </w:r>
      <w:r w:rsidR="0078796F">
        <w:t>e</w:t>
      </w:r>
      <w:r>
        <w:t xml:space="preserve"> a numerical score for the impact</w:t>
      </w:r>
      <w:r w:rsidR="00037880">
        <w:t xml:space="preserve"> of ICD-10</w:t>
      </w:r>
      <w:r>
        <w:t xml:space="preserve">.  </w:t>
      </w:r>
      <w:r w:rsidR="00037880">
        <w:t xml:space="preserve">This will </w:t>
      </w:r>
      <w:proofErr w:type="gramStart"/>
      <w:r w:rsidR="008534A5">
        <w:t>complement  the</w:t>
      </w:r>
      <w:proofErr w:type="gramEnd"/>
      <w:r w:rsidR="008534A5">
        <w:t xml:space="preserve"> Risk Management Plan artifact and assist project teams  in scoring and </w:t>
      </w:r>
      <w:r w:rsidR="00037880">
        <w:t>analyzing</w:t>
      </w:r>
      <w:r w:rsidR="008534A5">
        <w:t xml:space="preserve"> ICD-10 related</w:t>
      </w:r>
      <w:r w:rsidR="00037880">
        <w:t xml:space="preserve"> risks.</w:t>
      </w:r>
    </w:p>
    <w:p w:rsidR="0037255B" w:rsidRPr="0031400B" w:rsidRDefault="0037255B" w:rsidP="0031400B">
      <w:pPr>
        <w:pStyle w:val="Heading1"/>
      </w:pPr>
      <w:bookmarkStart w:id="1" w:name="_Toc278536805"/>
      <w:r w:rsidRPr="0031400B">
        <w:t xml:space="preserve">Impact </w:t>
      </w:r>
      <w:r w:rsidR="008A7CD9">
        <w:t>Analysis</w:t>
      </w:r>
      <w:r w:rsidR="008A7CD9" w:rsidRPr="0031400B">
        <w:t xml:space="preserve"> </w:t>
      </w:r>
      <w:r w:rsidRPr="0031400B">
        <w:t>Scoring Framework</w:t>
      </w:r>
      <w:bookmarkEnd w:id="1"/>
    </w:p>
    <w:p w:rsidR="0037255B" w:rsidRDefault="0037255B" w:rsidP="0037255B">
      <w:r>
        <w:t xml:space="preserve">The impact assessment framework consists of two scores: Impact Score and MITA Business Area Impact Score (MBAIS).  The MBAIS score reflects the need to identify the impact to each MITA business area and the interdependencies between the MITA business areas. </w:t>
      </w:r>
    </w:p>
    <w:p w:rsidR="0037255B" w:rsidRDefault="0037255B" w:rsidP="0037255B"/>
    <w:p w:rsidR="0037255B" w:rsidRDefault="0037255B" w:rsidP="0037255B">
      <w:r w:rsidRPr="000C0812">
        <w:rPr>
          <w:b/>
        </w:rPr>
        <w:t>Impact Score</w:t>
      </w:r>
      <w:r>
        <w:rPr>
          <w:rStyle w:val="FootnoteReference"/>
          <w:b/>
        </w:rPr>
        <w:footnoteReference w:id="1"/>
      </w:r>
      <w:r w:rsidRPr="000C0812">
        <w:t xml:space="preserve"> is a numerical score that reflects the </w:t>
      </w:r>
      <w:r>
        <w:t xml:space="preserve">risk level </w:t>
      </w:r>
      <w:r w:rsidRPr="000C0812">
        <w:t xml:space="preserve">and </w:t>
      </w:r>
      <w:r>
        <w:t xml:space="preserve">the </w:t>
      </w:r>
      <w:r w:rsidRPr="000C0812">
        <w:t>work effort</w:t>
      </w:r>
      <w:r>
        <w:t xml:space="preserve"> associated</w:t>
      </w:r>
      <w:r w:rsidRPr="000C0812">
        <w:t xml:space="preserve"> </w:t>
      </w:r>
      <w:r>
        <w:t>with</w:t>
      </w:r>
      <w:r w:rsidRPr="000C0812">
        <w:t xml:space="preserve"> an individual threat </w:t>
      </w:r>
      <w:r>
        <w:t xml:space="preserve">to </w:t>
      </w:r>
      <w:r w:rsidR="00420103">
        <w:t xml:space="preserve">a </w:t>
      </w:r>
      <w:r>
        <w:t>particular</w:t>
      </w:r>
      <w:r w:rsidRPr="000C0812">
        <w:t xml:space="preserve"> </w:t>
      </w:r>
      <w:r>
        <w:t>MITA business</w:t>
      </w:r>
      <w:r w:rsidRPr="000C0812">
        <w:t xml:space="preserve"> area</w:t>
      </w:r>
      <w:r>
        <w:t xml:space="preserve"> as the result of ICD-10 implementation</w:t>
      </w:r>
      <w:r>
        <w:rPr>
          <w:rStyle w:val="FootnoteReference"/>
        </w:rPr>
        <w:footnoteReference w:id="2"/>
      </w:r>
      <w:r w:rsidRPr="000C0812">
        <w:t>.</w:t>
      </w:r>
    </w:p>
    <w:p w:rsidR="0037255B" w:rsidRDefault="0037255B" w:rsidP="0037255B"/>
    <w:p w:rsidR="0037255B" w:rsidRDefault="0037255B" w:rsidP="0037255B">
      <w:pPr>
        <w:rPr>
          <w:b/>
        </w:rPr>
      </w:pPr>
      <w:r w:rsidRPr="004E0FC6">
        <w:rPr>
          <w:b/>
        </w:rPr>
        <w:t>MITA Business Area Impact Score (MBAIS)</w:t>
      </w:r>
      <w:r>
        <w:t xml:space="preserve"> </w:t>
      </w:r>
      <w:r w:rsidRPr="007A6CE4">
        <w:t>is</w:t>
      </w:r>
      <w:r>
        <w:rPr>
          <w:b/>
        </w:rPr>
        <w:t xml:space="preserve"> </w:t>
      </w:r>
      <w:r>
        <w:t xml:space="preserve">a numerical score that identifies the complexity of the risks and associated work efforts within a specific MITA business area for the ICD-10 transition.  This score does not consider how changes made to processes and systems managed by a particular MITA business area will affect other related functions.  </w:t>
      </w:r>
    </w:p>
    <w:p w:rsidR="00B7321B" w:rsidRDefault="00B7321B" w:rsidP="0037255B"/>
    <w:p w:rsidR="0037255B" w:rsidRDefault="0037255B" w:rsidP="0037255B">
      <w:bookmarkStart w:id="2" w:name="_Toc230686346"/>
      <w:bookmarkStart w:id="3" w:name="_Toc230686434"/>
      <w:bookmarkStart w:id="4" w:name="_Toc230686524"/>
      <w:bookmarkEnd w:id="2"/>
      <w:bookmarkEnd w:id="3"/>
      <w:bookmarkEnd w:id="4"/>
      <w:r>
        <w:t>The following sections describe the methodology for calculating the Impact Scores and MBAIS.</w:t>
      </w:r>
    </w:p>
    <w:p w:rsidR="0037255B" w:rsidRPr="00D73DA4" w:rsidRDefault="0037255B" w:rsidP="0031400B">
      <w:pPr>
        <w:pStyle w:val="Heading1"/>
        <w:numPr>
          <w:ilvl w:val="1"/>
          <w:numId w:val="1"/>
        </w:numPr>
        <w:ind w:left="720" w:hanging="720"/>
      </w:pPr>
      <w:bookmarkStart w:id="5" w:name="_Toc230829644"/>
      <w:bookmarkStart w:id="6" w:name="_Toc230829768"/>
      <w:bookmarkStart w:id="7" w:name="_Toc230829895"/>
      <w:bookmarkStart w:id="8" w:name="_Toc230830149"/>
      <w:bookmarkStart w:id="9" w:name="_Toc230830950"/>
      <w:bookmarkStart w:id="10" w:name="_Toc230686527"/>
      <w:bookmarkStart w:id="11" w:name="_Toc230829769"/>
      <w:bookmarkStart w:id="12" w:name="_Toc230829896"/>
      <w:bookmarkStart w:id="13" w:name="_Toc230830150"/>
      <w:bookmarkStart w:id="14" w:name="_Toc230830951"/>
      <w:bookmarkStart w:id="15" w:name="_Toc278536806"/>
      <w:bookmarkEnd w:id="5"/>
      <w:bookmarkEnd w:id="6"/>
      <w:bookmarkEnd w:id="7"/>
      <w:bookmarkEnd w:id="8"/>
      <w:bookmarkEnd w:id="9"/>
      <w:r w:rsidRPr="00D73DA4">
        <w:t>Impact Score Calculation</w:t>
      </w:r>
      <w:bookmarkEnd w:id="10"/>
      <w:bookmarkEnd w:id="11"/>
      <w:bookmarkEnd w:id="12"/>
      <w:bookmarkEnd w:id="13"/>
      <w:bookmarkEnd w:id="14"/>
      <w:bookmarkEnd w:id="15"/>
    </w:p>
    <w:p w:rsidR="0037255B" w:rsidRDefault="0037255B" w:rsidP="0037255B">
      <w:r>
        <w:t xml:space="preserve">There are two elements of the Impact Score: the risk score (likelihood and severity of a threat occurring) and work effort involved in mitigating the threat.  The following sections explain these factors.  </w:t>
      </w:r>
    </w:p>
    <w:p w:rsidR="0037255B" w:rsidRDefault="0037255B" w:rsidP="0037255B"/>
    <w:p w:rsidR="0037255B" w:rsidRDefault="0037255B" w:rsidP="0037255B">
      <w:r>
        <w:t xml:space="preserve">The SMA should use the same framework in the impact analysis to ensure that impact scoring for each area used a standard methodology. </w:t>
      </w:r>
    </w:p>
    <w:p w:rsidR="0037255B" w:rsidRDefault="0037255B" w:rsidP="0031400B">
      <w:pPr>
        <w:pStyle w:val="Heading1"/>
        <w:numPr>
          <w:ilvl w:val="1"/>
          <w:numId w:val="1"/>
        </w:numPr>
        <w:ind w:left="720" w:hanging="720"/>
      </w:pPr>
      <w:bookmarkStart w:id="16" w:name="_Toc228352808"/>
      <w:bookmarkStart w:id="17" w:name="_Toc230686528"/>
      <w:bookmarkStart w:id="18" w:name="_Toc278536807"/>
      <w:r>
        <w:t>Risk Scor</w:t>
      </w:r>
      <w:bookmarkEnd w:id="16"/>
      <w:bookmarkEnd w:id="17"/>
      <w:r w:rsidR="00A77414">
        <w:t>e</w:t>
      </w:r>
      <w:bookmarkEnd w:id="18"/>
    </w:p>
    <w:p w:rsidR="0037255B" w:rsidRDefault="0037255B" w:rsidP="0037255B">
      <w:r>
        <w:t>The SMA should score each risk associated with the ICD-10 transition.  Please refer to the Risk Management Plan for identifying the risks.  The SMA could score each risk by the likelihood (L) and severity (S) of occurrence</w:t>
      </w:r>
      <w:r w:rsidR="00D8631B">
        <w:t xml:space="preserve"> as illustrated below</w:t>
      </w:r>
      <w:r>
        <w:t xml:space="preserve">.  </w:t>
      </w:r>
    </w:p>
    <w:p w:rsidR="0037255B" w:rsidRDefault="0037255B" w:rsidP="0037255B">
      <w:bookmarkStart w:id="19" w:name="_Toc228352809"/>
      <w:bookmarkStart w:id="20" w:name="_Toc228630418"/>
    </w:p>
    <w:p w:rsidR="0037255B" w:rsidRDefault="0037255B" w:rsidP="0037255B">
      <w:r>
        <w:t>The risk score (R) equal</w:t>
      </w:r>
      <w:r w:rsidR="00D8631B">
        <w:t>s</w:t>
      </w:r>
      <w:r>
        <w:t xml:space="preserve"> the value of the likelihood (L) multiplied by the severity (S).</w:t>
      </w:r>
      <w:bookmarkEnd w:id="19"/>
      <w:bookmarkEnd w:id="20"/>
    </w:p>
    <w:p w:rsidR="0037255B" w:rsidRDefault="0037255B" w:rsidP="0037255B"/>
    <w:p w:rsidR="00DA0921" w:rsidRDefault="00DA0921" w:rsidP="00DA0921">
      <w:pPr>
        <w:pStyle w:val="Caption"/>
      </w:pPr>
      <w:bookmarkStart w:id="21" w:name="_Toc228352810"/>
      <w:r>
        <w:lastRenderedPageBreak/>
        <w:t xml:space="preserve">Equation </w:t>
      </w:r>
      <w:r w:rsidR="005269DC">
        <w:fldChar w:fldCharType="begin"/>
      </w:r>
      <w:r w:rsidR="005269DC">
        <w:instrText xml:space="preserve"> SEQ Equation \* ARABIC </w:instrText>
      </w:r>
      <w:r w:rsidR="005269DC">
        <w:fldChar w:fldCharType="separate"/>
      </w:r>
      <w:r w:rsidR="00C632E2">
        <w:rPr>
          <w:noProof/>
        </w:rPr>
        <w:t>1</w:t>
      </w:r>
      <w:r w:rsidR="005269DC">
        <w:rPr>
          <w:noProof/>
        </w:rPr>
        <w:fldChar w:fldCharType="end"/>
      </w:r>
      <w:r>
        <w:t>: Risk Score</w:t>
      </w:r>
    </w:p>
    <w:p w:rsidR="0037255B" w:rsidRPr="0031400B" w:rsidRDefault="00DA0921" w:rsidP="0031400B">
      <w:pPr>
        <w:jc w:val="center"/>
        <w:rPr>
          <w:b/>
        </w:rPr>
      </w:pPr>
      <m:oMathPara>
        <m:oMath>
          <m:r>
            <m:rPr>
              <m:sty m:val="bi"/>
            </m:rPr>
            <w:rPr>
              <w:rFonts w:ascii="Cambria Math" w:hAnsi="Cambria Math"/>
            </w:rPr>
            <m:t>Risk</m:t>
          </m:r>
          <m:d>
            <m:dPr>
              <m:ctrlPr>
                <w:rPr>
                  <w:rFonts w:ascii="Cambria Math" w:hAnsi="Cambria Math"/>
                  <w:b/>
                  <w:i/>
                </w:rPr>
              </m:ctrlPr>
            </m:dPr>
            <m:e>
              <m:r>
                <m:rPr>
                  <m:sty m:val="bi"/>
                </m:rPr>
                <w:rPr>
                  <w:rFonts w:ascii="Cambria Math" w:hAnsi="Cambria Math"/>
                </w:rPr>
                <m:t>R</m:t>
              </m:r>
            </m:e>
          </m:d>
          <m:r>
            <m:rPr>
              <m:sty m:val="bi"/>
            </m:rPr>
            <w:rPr>
              <w:rFonts w:ascii="Cambria Math" w:hAnsi="Cambria Math"/>
            </w:rPr>
            <m:t xml:space="preserve">=Liklihood </m:t>
          </m:r>
          <m:d>
            <m:dPr>
              <m:ctrlPr>
                <w:rPr>
                  <w:rFonts w:ascii="Cambria Math" w:hAnsi="Cambria Math"/>
                  <w:b/>
                  <w:i/>
                </w:rPr>
              </m:ctrlPr>
            </m:dPr>
            <m:e>
              <m:r>
                <m:rPr>
                  <m:sty m:val="bi"/>
                </m:rPr>
                <w:rPr>
                  <w:rFonts w:ascii="Cambria Math" w:hAnsi="Cambria Math"/>
                </w:rPr>
                <m:t>L</m:t>
              </m:r>
            </m:e>
          </m:d>
          <m:r>
            <m:rPr>
              <m:sty m:val="bi"/>
            </m:rPr>
            <w:rPr>
              <w:rFonts w:ascii="Cambria Math" w:hAnsi="Cambria Math"/>
            </w:rPr>
            <m:t xml:space="preserve">* Severity </m:t>
          </m:r>
          <m:d>
            <m:dPr>
              <m:ctrlPr>
                <w:rPr>
                  <w:rFonts w:ascii="Cambria Math" w:hAnsi="Cambria Math"/>
                  <w:b/>
                  <w:i/>
                </w:rPr>
              </m:ctrlPr>
            </m:dPr>
            <m:e>
              <m:r>
                <m:rPr>
                  <m:sty m:val="bi"/>
                </m:rPr>
                <w:rPr>
                  <w:rFonts w:ascii="Cambria Math" w:hAnsi="Cambria Math"/>
                </w:rPr>
                <m:t>S</m:t>
              </m:r>
            </m:e>
          </m:d>
        </m:oMath>
      </m:oMathPara>
      <w:bookmarkEnd w:id="21"/>
    </w:p>
    <w:p w:rsidR="0037255B" w:rsidRDefault="0037255B" w:rsidP="0037255B"/>
    <w:p w:rsidR="0037255B" w:rsidRDefault="0037255B" w:rsidP="0037255B">
      <w:r>
        <w:t xml:space="preserve">The likelihood scoring range is from 1 to 3.  </w:t>
      </w:r>
    </w:p>
    <w:p w:rsidR="0037255B" w:rsidRDefault="0037255B" w:rsidP="0037255B">
      <w:pPr>
        <w:pStyle w:val="Header"/>
      </w:pPr>
    </w:p>
    <w:p w:rsidR="0037255B" w:rsidRDefault="005269DC" w:rsidP="0037255B">
      <w:r>
        <w:fldChar w:fldCharType="begin"/>
      </w:r>
      <w:r>
        <w:instrText xml:space="preserve"> REF _Ref277243664 \h  \* MERGEFORMAT </w:instrText>
      </w:r>
      <w:r>
        <w:fldChar w:fldCharType="separate"/>
      </w:r>
      <w:r w:rsidR="00C632E2">
        <w:t>Table 1</w:t>
      </w:r>
      <w:r>
        <w:fldChar w:fldCharType="end"/>
      </w:r>
      <w:r w:rsidR="0037255B">
        <w:t xml:space="preserve"> describes the likelihood of occurrence values.</w:t>
      </w:r>
    </w:p>
    <w:p w:rsidR="0037255B" w:rsidRDefault="0037255B" w:rsidP="00A77414">
      <w:pPr>
        <w:pStyle w:val="Caption"/>
      </w:pPr>
      <w:bookmarkStart w:id="22" w:name="_Ref277243664"/>
      <w:bookmarkStart w:id="23" w:name="_Toc228352811"/>
      <w:bookmarkStart w:id="24" w:name="_Toc228630420"/>
      <w:bookmarkStart w:id="25" w:name="_Toc229329863"/>
      <w:bookmarkStart w:id="26" w:name="_Toc244524616"/>
      <w:bookmarkStart w:id="27" w:name="_Toc278536775"/>
      <w:r>
        <w:t xml:space="preserve">Table </w:t>
      </w:r>
      <w:r w:rsidR="005269DC">
        <w:fldChar w:fldCharType="begin"/>
      </w:r>
      <w:r w:rsidR="005269DC">
        <w:instrText xml:space="preserve"> SEQ Table \* ARABIC </w:instrText>
      </w:r>
      <w:r w:rsidR="005269DC">
        <w:fldChar w:fldCharType="separate"/>
      </w:r>
      <w:r w:rsidR="00C632E2">
        <w:rPr>
          <w:noProof/>
        </w:rPr>
        <w:t>1</w:t>
      </w:r>
      <w:r w:rsidR="005269DC">
        <w:rPr>
          <w:noProof/>
        </w:rPr>
        <w:fldChar w:fldCharType="end"/>
      </w:r>
      <w:bookmarkEnd w:id="22"/>
      <w:r>
        <w:t xml:space="preserve">: </w:t>
      </w:r>
      <w:r w:rsidRPr="00721CB7">
        <w:t>Likelihood of Occurrence</w:t>
      </w:r>
      <w:r>
        <w:t xml:space="preserve"> Values</w:t>
      </w:r>
      <w:bookmarkEnd w:id="23"/>
      <w:bookmarkEnd w:id="24"/>
      <w:bookmarkEnd w:id="25"/>
      <w:bookmarkEnd w:id="26"/>
      <w:bookmarkEnd w:id="27"/>
    </w:p>
    <w:tbl>
      <w:tblPr>
        <w:tblStyle w:val="MediumShading1-Accent11"/>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ikelihood of Occurence Values"/>
        <w:tblDescription w:val="Provides descriptions for low, moderate, and high."/>
      </w:tblPr>
      <w:tblGrid>
        <w:gridCol w:w="1350"/>
        <w:gridCol w:w="1595"/>
        <w:gridCol w:w="5310"/>
      </w:tblGrid>
      <w:tr w:rsidR="0037255B" w:rsidRPr="00A77414" w:rsidTr="0005100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D913F4">
            <w:pPr>
              <w:jc w:val="center"/>
              <w:rPr>
                <w:rStyle w:val="Heading1CharChar"/>
                <w:rFonts w:ascii="Times New Roman" w:hAnsi="Times New Roman"/>
                <w:b/>
                <w:color w:val="auto"/>
                <w:sz w:val="24"/>
                <w:szCs w:val="24"/>
              </w:rPr>
            </w:pPr>
            <w:r w:rsidRPr="00DA0921">
              <w:rPr>
                <w:rStyle w:val="Heading1CharChar"/>
                <w:rFonts w:ascii="Times New Roman" w:hAnsi="Times New Roman"/>
                <w:b/>
                <w:sz w:val="24"/>
                <w:szCs w:val="24"/>
              </w:rPr>
              <w:t>Value</w:t>
            </w:r>
          </w:p>
        </w:tc>
        <w:tc>
          <w:tcPr>
            <w:tcW w:w="1595"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D913F4">
            <w:pPr>
              <w:jc w:val="center"/>
              <w:cnfStyle w:val="100000000000" w:firstRow="1" w:lastRow="0" w:firstColumn="0" w:lastColumn="0" w:oddVBand="0" w:evenVBand="0" w:oddHBand="0" w:evenHBand="0" w:firstRowFirstColumn="0" w:firstRowLastColumn="0" w:lastRowFirstColumn="0" w:lastRowLastColumn="0"/>
              <w:rPr>
                <w:rStyle w:val="Heading1CharChar"/>
                <w:rFonts w:ascii="Times New Roman" w:hAnsi="Times New Roman"/>
                <w:b/>
                <w:color w:val="auto"/>
                <w:sz w:val="24"/>
                <w:szCs w:val="24"/>
              </w:rPr>
            </w:pPr>
            <w:r w:rsidRPr="00DA0921">
              <w:rPr>
                <w:rStyle w:val="Heading1CharChar"/>
                <w:rFonts w:ascii="Times New Roman" w:hAnsi="Times New Roman"/>
                <w:b/>
                <w:sz w:val="24"/>
                <w:szCs w:val="24"/>
              </w:rPr>
              <w:t>Level</w:t>
            </w:r>
          </w:p>
        </w:tc>
        <w:tc>
          <w:tcPr>
            <w:tcW w:w="531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37255B" w:rsidRPr="00DA0921" w:rsidRDefault="00D913F4" w:rsidP="00006CA8">
            <w:pPr>
              <w:cnfStyle w:val="100000000000" w:firstRow="1" w:lastRow="0" w:firstColumn="0" w:lastColumn="0" w:oddVBand="0" w:evenVBand="0" w:oddHBand="0" w:evenHBand="0" w:firstRowFirstColumn="0" w:firstRowLastColumn="0" w:lastRowFirstColumn="0" w:lastRowLastColumn="0"/>
              <w:rPr>
                <w:rStyle w:val="Heading1CharChar"/>
                <w:rFonts w:ascii="Times New Roman" w:hAnsi="Times New Roman"/>
                <w:b/>
                <w:sz w:val="24"/>
                <w:szCs w:val="24"/>
              </w:rPr>
            </w:pPr>
            <w:r w:rsidRPr="00DA0921">
              <w:rPr>
                <w:rStyle w:val="Heading1CharChar"/>
                <w:rFonts w:ascii="Times New Roman" w:hAnsi="Times New Roman"/>
                <w:b/>
                <w:sz w:val="24"/>
                <w:szCs w:val="24"/>
              </w:rPr>
              <w:t>Description</w:t>
            </w:r>
          </w:p>
        </w:tc>
      </w:tr>
      <w:tr w:rsidR="0037255B" w:rsidRPr="0031400B" w:rsidTr="000510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tcPr>
          <w:p w:rsidR="00104EDD" w:rsidRDefault="0037255B">
            <w:pPr>
              <w:jc w:val="center"/>
              <w:rPr>
                <w:rStyle w:val="Heading1CharChar"/>
                <w:rFonts w:ascii="Times New Roman" w:hAnsi="Times New Roman"/>
                <w:color w:val="FFFFFF" w:themeColor="background1"/>
                <w:sz w:val="24"/>
                <w:szCs w:val="24"/>
              </w:rPr>
            </w:pPr>
            <w:r w:rsidRPr="0031400B">
              <w:rPr>
                <w:rStyle w:val="Heading1CharChar"/>
                <w:rFonts w:ascii="Times New Roman" w:hAnsi="Times New Roman"/>
                <w:sz w:val="24"/>
                <w:szCs w:val="24"/>
              </w:rPr>
              <w:t>1</w:t>
            </w:r>
          </w:p>
        </w:tc>
        <w:tc>
          <w:tcPr>
            <w:tcW w:w="1595"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rPr>
                <w:rStyle w:val="Heading1CharChar"/>
                <w:rFonts w:ascii="Times New Roman" w:hAnsi="Times New Roman"/>
                <w:b w:val="0"/>
                <w:bCs/>
                <w:color w:val="FFFFFF" w:themeColor="background1"/>
                <w:sz w:val="24"/>
                <w:szCs w:val="24"/>
              </w:rPr>
            </w:pPr>
            <w:r w:rsidRPr="0031400B">
              <w:rPr>
                <w:rStyle w:val="Heading1CharChar"/>
                <w:rFonts w:ascii="Times New Roman" w:hAnsi="Times New Roman"/>
                <w:b w:val="0"/>
                <w:sz w:val="24"/>
                <w:szCs w:val="24"/>
              </w:rPr>
              <w:t>Low</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cnfStyle w:val="000000100000" w:firstRow="0" w:lastRow="0" w:firstColumn="0" w:lastColumn="0" w:oddVBand="0" w:evenVBand="0" w:oddHBand="1" w:evenHBand="0" w:firstRowFirstColumn="0" w:firstRowLastColumn="0" w:lastRowFirstColumn="0" w:lastRowLastColumn="0"/>
              <w:rPr>
                <w:rStyle w:val="Heading1CharChar"/>
                <w:rFonts w:ascii="Times New Roman" w:hAnsi="Times New Roman"/>
                <w:b w:val="0"/>
                <w:sz w:val="24"/>
                <w:szCs w:val="24"/>
              </w:rPr>
            </w:pPr>
            <w:r w:rsidRPr="0031400B">
              <w:rPr>
                <w:rStyle w:val="Heading1CharChar"/>
                <w:rFonts w:ascii="Times New Roman" w:hAnsi="Times New Roman"/>
                <w:b w:val="0"/>
                <w:sz w:val="24"/>
                <w:szCs w:val="24"/>
              </w:rPr>
              <w:t>Minimal probability of taking place</w:t>
            </w:r>
          </w:p>
        </w:tc>
      </w:tr>
      <w:tr w:rsidR="0037255B" w:rsidRPr="0031400B" w:rsidTr="0005100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tcPr>
          <w:p w:rsidR="00104EDD" w:rsidRDefault="0037255B">
            <w:pPr>
              <w:jc w:val="center"/>
              <w:rPr>
                <w:rStyle w:val="Heading1CharChar"/>
                <w:rFonts w:ascii="Times New Roman" w:hAnsi="Times New Roman"/>
                <w:b/>
                <w:bCs w:val="0"/>
                <w:sz w:val="24"/>
                <w:szCs w:val="24"/>
              </w:rPr>
            </w:pPr>
            <w:r w:rsidRPr="0031400B">
              <w:rPr>
                <w:rStyle w:val="Heading1CharChar"/>
                <w:rFonts w:ascii="Times New Roman" w:hAnsi="Times New Roman"/>
                <w:sz w:val="24"/>
                <w:szCs w:val="24"/>
              </w:rPr>
              <w:t>2</w:t>
            </w:r>
          </w:p>
        </w:tc>
        <w:tc>
          <w:tcPr>
            <w:tcW w:w="1595"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010000" w:firstRow="0" w:lastRow="0" w:firstColumn="0" w:lastColumn="0" w:oddVBand="0" w:evenVBand="0" w:oddHBand="0" w:evenHBand="1" w:firstRowFirstColumn="0" w:firstRowLastColumn="0" w:lastRowFirstColumn="0" w:lastRowLastColumn="0"/>
              <w:rPr>
                <w:rStyle w:val="Heading1CharChar"/>
                <w:rFonts w:ascii="Times New Roman" w:hAnsi="Times New Roman"/>
                <w:b w:val="0"/>
                <w:sz w:val="24"/>
                <w:szCs w:val="24"/>
              </w:rPr>
            </w:pPr>
            <w:r w:rsidRPr="0031400B">
              <w:rPr>
                <w:rStyle w:val="Heading1CharChar"/>
                <w:rFonts w:ascii="Times New Roman" w:hAnsi="Times New Roman"/>
                <w:b w:val="0"/>
                <w:sz w:val="24"/>
                <w:szCs w:val="24"/>
              </w:rPr>
              <w:t>Moderate</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cnfStyle w:val="000000010000" w:firstRow="0" w:lastRow="0" w:firstColumn="0" w:lastColumn="0" w:oddVBand="0" w:evenVBand="0" w:oddHBand="0" w:evenHBand="1" w:firstRowFirstColumn="0" w:firstRowLastColumn="0" w:lastRowFirstColumn="0" w:lastRowLastColumn="0"/>
              <w:rPr>
                <w:rStyle w:val="Heading1CharChar"/>
                <w:rFonts w:ascii="Times New Roman" w:hAnsi="Times New Roman"/>
                <w:b w:val="0"/>
                <w:sz w:val="24"/>
                <w:szCs w:val="24"/>
              </w:rPr>
            </w:pPr>
            <w:r w:rsidRPr="0031400B">
              <w:rPr>
                <w:rStyle w:val="Heading1CharChar"/>
                <w:rFonts w:ascii="Times New Roman" w:hAnsi="Times New Roman"/>
                <w:b w:val="0"/>
                <w:sz w:val="24"/>
                <w:szCs w:val="24"/>
              </w:rPr>
              <w:t>Equal probability of occurring or not taking place</w:t>
            </w:r>
          </w:p>
        </w:tc>
      </w:tr>
      <w:tr w:rsidR="0037255B" w:rsidRPr="0031400B" w:rsidTr="000510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50" w:type="dxa"/>
            <w:tcBorders>
              <w:right w:val="none" w:sz="0" w:space="0" w:color="auto"/>
            </w:tcBorders>
            <w:tcMar>
              <w:top w:w="43" w:type="dxa"/>
              <w:left w:w="115" w:type="dxa"/>
              <w:bottom w:w="43" w:type="dxa"/>
              <w:right w:w="115" w:type="dxa"/>
            </w:tcMar>
          </w:tcPr>
          <w:p w:rsidR="00104EDD" w:rsidRDefault="0037255B">
            <w:pPr>
              <w:jc w:val="center"/>
              <w:rPr>
                <w:rStyle w:val="Heading1CharChar"/>
                <w:rFonts w:ascii="Times New Roman" w:hAnsi="Times New Roman"/>
                <w:b/>
                <w:bCs w:val="0"/>
                <w:sz w:val="24"/>
                <w:szCs w:val="24"/>
              </w:rPr>
            </w:pPr>
            <w:r w:rsidRPr="0031400B">
              <w:rPr>
                <w:rStyle w:val="Heading1CharChar"/>
                <w:rFonts w:ascii="Times New Roman" w:hAnsi="Times New Roman"/>
                <w:sz w:val="24"/>
                <w:szCs w:val="24"/>
              </w:rPr>
              <w:t>3</w:t>
            </w:r>
          </w:p>
        </w:tc>
        <w:tc>
          <w:tcPr>
            <w:tcW w:w="1595"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rPr>
                <w:rStyle w:val="Heading1CharChar"/>
                <w:rFonts w:ascii="Times New Roman" w:hAnsi="Times New Roman"/>
                <w:b w:val="0"/>
                <w:sz w:val="24"/>
                <w:szCs w:val="24"/>
              </w:rPr>
            </w:pPr>
            <w:r w:rsidRPr="0031400B">
              <w:rPr>
                <w:rStyle w:val="Heading1CharChar"/>
                <w:rFonts w:ascii="Times New Roman" w:hAnsi="Times New Roman"/>
                <w:b w:val="0"/>
                <w:sz w:val="24"/>
                <w:szCs w:val="24"/>
              </w:rPr>
              <w:t>High</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cnfStyle w:val="000000100000" w:firstRow="0" w:lastRow="0" w:firstColumn="0" w:lastColumn="0" w:oddVBand="0" w:evenVBand="0" w:oddHBand="1" w:evenHBand="0" w:firstRowFirstColumn="0" w:firstRowLastColumn="0" w:lastRowFirstColumn="0" w:lastRowLastColumn="0"/>
              <w:rPr>
                <w:rStyle w:val="Heading1CharChar"/>
                <w:rFonts w:ascii="Times New Roman" w:hAnsi="Times New Roman"/>
                <w:b w:val="0"/>
                <w:sz w:val="24"/>
                <w:szCs w:val="24"/>
              </w:rPr>
            </w:pPr>
            <w:r w:rsidRPr="0031400B">
              <w:rPr>
                <w:rStyle w:val="Heading1CharChar"/>
                <w:rFonts w:ascii="Times New Roman" w:hAnsi="Times New Roman"/>
                <w:b w:val="0"/>
                <w:sz w:val="24"/>
                <w:szCs w:val="24"/>
              </w:rPr>
              <w:t>Extreme probability of taking place</w:t>
            </w:r>
          </w:p>
        </w:tc>
      </w:tr>
    </w:tbl>
    <w:p w:rsidR="0037255B" w:rsidRPr="00A77414" w:rsidRDefault="0037255B" w:rsidP="0037255B"/>
    <w:p w:rsidR="00B7321B" w:rsidRDefault="0037255B" w:rsidP="00B7321B">
      <w:r>
        <w:t xml:space="preserve">The occurrence severity values range could be scored from 1 to 3, and 10.  Catastrophic risks have a value of 10 because the risk impedes the SMA from achieving fundamental functions (e.g., payment). </w:t>
      </w:r>
      <w:r w:rsidR="00956A27">
        <w:t xml:space="preserve"> </w:t>
      </w:r>
      <w:r>
        <w:t xml:space="preserve">A risk of this nature has a significantly higher value to ensure catastrophic risks receive sufficient weight and attention. </w:t>
      </w:r>
    </w:p>
    <w:p w:rsidR="00C632E2" w:rsidRDefault="00C632E2" w:rsidP="00B7321B"/>
    <w:p w:rsidR="0037255B" w:rsidRDefault="005269DC" w:rsidP="0037255B">
      <w:r>
        <w:fldChar w:fldCharType="begin"/>
      </w:r>
      <w:r>
        <w:instrText xml:space="preserve"> REF _Ref277244029 \h  \* MERGEFORMAT </w:instrText>
      </w:r>
      <w:r>
        <w:fldChar w:fldCharType="separate"/>
      </w:r>
      <w:r w:rsidR="00C632E2">
        <w:t>Table 2</w:t>
      </w:r>
      <w:r>
        <w:fldChar w:fldCharType="end"/>
      </w:r>
      <w:r w:rsidR="0037255B">
        <w:t xml:space="preserve"> describes the occurrence severity values. </w:t>
      </w:r>
    </w:p>
    <w:p w:rsidR="0037255B" w:rsidRDefault="0037255B" w:rsidP="00A77414">
      <w:pPr>
        <w:pStyle w:val="Caption"/>
      </w:pPr>
      <w:bookmarkStart w:id="28" w:name="_Ref277244029"/>
      <w:bookmarkStart w:id="29" w:name="_Toc228352812"/>
      <w:bookmarkStart w:id="30" w:name="_Toc228630421"/>
      <w:bookmarkStart w:id="31" w:name="_Toc229329864"/>
      <w:bookmarkStart w:id="32" w:name="_Toc244524617"/>
      <w:bookmarkStart w:id="33" w:name="_Toc278536776"/>
      <w:r>
        <w:t xml:space="preserve">Table </w:t>
      </w:r>
      <w:r w:rsidR="005269DC">
        <w:fldChar w:fldCharType="begin"/>
      </w:r>
      <w:r w:rsidR="005269DC">
        <w:instrText xml:space="preserve"> SEQ Table \* ARABIC</w:instrText>
      </w:r>
      <w:r w:rsidR="005269DC">
        <w:instrText xml:space="preserve"> </w:instrText>
      </w:r>
      <w:r w:rsidR="005269DC">
        <w:fldChar w:fldCharType="separate"/>
      </w:r>
      <w:r w:rsidR="00C632E2">
        <w:rPr>
          <w:noProof/>
        </w:rPr>
        <w:t>2</w:t>
      </w:r>
      <w:r w:rsidR="005269DC">
        <w:rPr>
          <w:noProof/>
        </w:rPr>
        <w:fldChar w:fldCharType="end"/>
      </w:r>
      <w:bookmarkEnd w:id="28"/>
      <w:r>
        <w:t xml:space="preserve">: </w:t>
      </w:r>
      <w:r w:rsidRPr="0055304A">
        <w:t>Occurrence Severity</w:t>
      </w:r>
      <w:bookmarkEnd w:id="29"/>
      <w:bookmarkEnd w:id="30"/>
      <w:bookmarkEnd w:id="31"/>
      <w:bookmarkEnd w:id="32"/>
      <w:bookmarkEnd w:id="33"/>
    </w:p>
    <w:tbl>
      <w:tblPr>
        <w:tblStyle w:val="MediumShading1-Accent1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Caption w:val="Occurence Servity"/>
        <w:tblDescription w:val="Provides descriptions for low, modreate, and high severity levels."/>
      </w:tblPr>
      <w:tblGrid>
        <w:gridCol w:w="1008"/>
        <w:gridCol w:w="1620"/>
        <w:gridCol w:w="6480"/>
      </w:tblGrid>
      <w:tr w:rsidR="0037255B" w:rsidTr="00A7741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8"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rPr>
                <w:b w:val="0"/>
                <w:bCs w:val="0"/>
                <w:color w:val="auto"/>
              </w:rPr>
            </w:pPr>
            <w:r w:rsidRPr="0031400B">
              <w:t>Value</w:t>
            </w:r>
          </w:p>
        </w:tc>
        <w:tc>
          <w:tcPr>
            <w:tcW w:w="162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31400B">
              <w:t>Level</w:t>
            </w:r>
          </w:p>
        </w:tc>
        <w:tc>
          <w:tcPr>
            <w:cnfStyle w:val="000100000000" w:firstRow="0" w:lastRow="0" w:firstColumn="0" w:lastColumn="1" w:oddVBand="0" w:evenVBand="0" w:oddHBand="0" w:evenHBand="0" w:firstRowFirstColumn="0" w:firstRowLastColumn="0" w:lastRowFirstColumn="0" w:lastRowLastColumn="0"/>
            <w:tcW w:w="648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rPr>
                <w:b w:val="0"/>
                <w:bCs w:val="0"/>
                <w:color w:val="auto"/>
              </w:rPr>
            </w:pPr>
            <w:r w:rsidRPr="0031400B">
              <w:t>Description</w:t>
            </w:r>
          </w:p>
        </w:tc>
      </w:tr>
      <w:tr w:rsidR="0037255B" w:rsidTr="00A7741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8"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rPr>
                <w:b w:val="0"/>
              </w:rPr>
              <w:t>1</w:t>
            </w:r>
          </w:p>
        </w:tc>
        <w:tc>
          <w:tcPr>
            <w:tcW w:w="1620"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93206D">
              <w:t>Low</w:t>
            </w:r>
          </w:p>
        </w:tc>
        <w:tc>
          <w:tcPr>
            <w:cnfStyle w:val="000100000000" w:firstRow="0" w:lastRow="0" w:firstColumn="0" w:lastColumn="1" w:oddVBand="0" w:evenVBand="0" w:oddHBand="0" w:evenHBand="0" w:firstRowFirstColumn="0" w:firstRowLastColumn="0" w:lastRowFirstColumn="0" w:lastRowLastColumn="0"/>
            <w:tcW w:w="6480" w:type="dxa"/>
            <w:tcBorders>
              <w:left w:val="none" w:sz="0" w:space="0" w:color="auto"/>
            </w:tcBorders>
            <w:tcMar>
              <w:top w:w="43" w:type="dxa"/>
              <w:left w:w="115" w:type="dxa"/>
              <w:bottom w:w="43" w:type="dxa"/>
              <w:right w:w="115" w:type="dxa"/>
            </w:tcMar>
          </w:tcPr>
          <w:p w:rsidR="0037255B" w:rsidRPr="0031400B" w:rsidRDefault="0037255B" w:rsidP="00A77414">
            <w:pPr>
              <w:rPr>
                <w:b w:val="0"/>
              </w:rPr>
            </w:pPr>
            <w:r w:rsidRPr="0031400B">
              <w:rPr>
                <w:b w:val="0"/>
              </w:rPr>
              <w:t xml:space="preserve">Risk occurrence will have a minor </w:t>
            </w:r>
            <w:proofErr w:type="spellStart"/>
            <w:r w:rsidRPr="0031400B">
              <w:rPr>
                <w:b w:val="0"/>
              </w:rPr>
              <w:t>affect</w:t>
            </w:r>
            <w:proofErr w:type="spellEnd"/>
            <w:r w:rsidRPr="0031400B">
              <w:rPr>
                <w:b w:val="0"/>
              </w:rPr>
              <w:t xml:space="preserve"> on the SMA business outcomes and will require minimal or no effort to address.  The SMA can use workarounds to continue business processes and systems without affecting outcomes.</w:t>
            </w:r>
          </w:p>
        </w:tc>
      </w:tr>
      <w:tr w:rsidR="0037255B" w:rsidTr="00A7741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8"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rPr>
                <w:b w:val="0"/>
              </w:rPr>
              <w:t>2</w:t>
            </w:r>
          </w:p>
        </w:tc>
        <w:tc>
          <w:tcPr>
            <w:tcW w:w="1620"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93206D">
              <w:t>Moderate</w:t>
            </w:r>
          </w:p>
        </w:tc>
        <w:tc>
          <w:tcPr>
            <w:cnfStyle w:val="000100000000" w:firstRow="0" w:lastRow="0" w:firstColumn="0" w:lastColumn="1" w:oddVBand="0" w:evenVBand="0" w:oddHBand="0" w:evenHBand="0" w:firstRowFirstColumn="0" w:firstRowLastColumn="0" w:lastRowFirstColumn="0" w:lastRowLastColumn="0"/>
            <w:tcW w:w="6480" w:type="dxa"/>
            <w:tcBorders>
              <w:left w:val="none" w:sz="0" w:space="0" w:color="auto"/>
            </w:tcBorders>
            <w:tcMar>
              <w:top w:w="43" w:type="dxa"/>
              <w:left w:w="115" w:type="dxa"/>
              <w:bottom w:w="43" w:type="dxa"/>
              <w:right w:w="115" w:type="dxa"/>
            </w:tcMar>
          </w:tcPr>
          <w:p w:rsidR="0037255B" w:rsidRPr="0031400B" w:rsidRDefault="0037255B" w:rsidP="00A77414">
            <w:pPr>
              <w:rPr>
                <w:b w:val="0"/>
              </w:rPr>
            </w:pPr>
            <w:r w:rsidRPr="0031400B">
              <w:rPr>
                <w:b w:val="0"/>
              </w:rPr>
              <w:t xml:space="preserve">Risk occurrence will have some </w:t>
            </w:r>
            <w:proofErr w:type="spellStart"/>
            <w:r w:rsidRPr="0031400B">
              <w:rPr>
                <w:b w:val="0"/>
              </w:rPr>
              <w:t>affect</w:t>
            </w:r>
            <w:proofErr w:type="spellEnd"/>
            <w:r w:rsidRPr="0031400B">
              <w:rPr>
                <w:b w:val="0"/>
              </w:rPr>
              <w:t xml:space="preserve"> on the SMA business outcomes.  The SMA can use short term workarounds, but there would be the possibility of affecting the effectiveness or efficiency of the area (e.g., longer timeframes, greater cost).  Avoiding or mitigating the risk will require some expenditure of resources.</w:t>
            </w:r>
          </w:p>
        </w:tc>
      </w:tr>
      <w:tr w:rsidR="0037255B" w:rsidTr="00A7741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8"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rPr>
                <w:b w:val="0"/>
              </w:rPr>
              <w:t>3</w:t>
            </w:r>
          </w:p>
        </w:tc>
        <w:tc>
          <w:tcPr>
            <w:tcW w:w="1620"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C238DC">
              <w:t>High</w:t>
            </w:r>
          </w:p>
        </w:tc>
        <w:tc>
          <w:tcPr>
            <w:cnfStyle w:val="000100000000" w:firstRow="0" w:lastRow="0" w:firstColumn="0" w:lastColumn="1" w:oddVBand="0" w:evenVBand="0" w:oddHBand="0" w:evenHBand="0" w:firstRowFirstColumn="0" w:firstRowLastColumn="0" w:lastRowFirstColumn="0" w:lastRowLastColumn="0"/>
            <w:tcW w:w="6480" w:type="dxa"/>
            <w:tcBorders>
              <w:left w:val="none" w:sz="0" w:space="0" w:color="auto"/>
            </w:tcBorders>
            <w:tcMar>
              <w:top w:w="43" w:type="dxa"/>
              <w:left w:w="115" w:type="dxa"/>
              <w:bottom w:w="43" w:type="dxa"/>
              <w:right w:w="115" w:type="dxa"/>
            </w:tcMar>
          </w:tcPr>
          <w:p w:rsidR="0037255B" w:rsidRPr="0031400B" w:rsidRDefault="0037255B" w:rsidP="00956A27">
            <w:pPr>
              <w:rPr>
                <w:b w:val="0"/>
              </w:rPr>
            </w:pPr>
            <w:r w:rsidRPr="0031400B">
              <w:rPr>
                <w:b w:val="0"/>
              </w:rPr>
              <w:t xml:space="preserve">Risk occurrence will have an extreme </w:t>
            </w:r>
            <w:proofErr w:type="spellStart"/>
            <w:r w:rsidRPr="0031400B">
              <w:rPr>
                <w:b w:val="0"/>
              </w:rPr>
              <w:t>affect</w:t>
            </w:r>
            <w:proofErr w:type="spellEnd"/>
            <w:r w:rsidRPr="0031400B">
              <w:rPr>
                <w:b w:val="0"/>
              </w:rPr>
              <w:t xml:space="preserve"> on the SMA business outcomes and require more expenditure of resources to address. </w:t>
            </w:r>
            <w:r w:rsidR="00956A27">
              <w:rPr>
                <w:b w:val="0"/>
              </w:rPr>
              <w:t xml:space="preserve"> </w:t>
            </w:r>
            <w:r w:rsidRPr="0031400B">
              <w:rPr>
                <w:b w:val="0"/>
              </w:rPr>
              <w:t xml:space="preserve">Using short term workarounds could not prevent negative </w:t>
            </w:r>
            <w:proofErr w:type="spellStart"/>
            <w:r w:rsidRPr="0031400B">
              <w:rPr>
                <w:b w:val="0"/>
              </w:rPr>
              <w:t>affects</w:t>
            </w:r>
            <w:proofErr w:type="spellEnd"/>
            <w:r w:rsidRPr="0031400B">
              <w:rPr>
                <w:b w:val="0"/>
              </w:rPr>
              <w:t xml:space="preserve"> </w:t>
            </w:r>
            <w:r w:rsidR="00956A27">
              <w:rPr>
                <w:b w:val="0"/>
              </w:rPr>
              <w:t>on the</w:t>
            </w:r>
            <w:r w:rsidR="00956A27" w:rsidRPr="0031400B">
              <w:rPr>
                <w:b w:val="0"/>
              </w:rPr>
              <w:t xml:space="preserve"> </w:t>
            </w:r>
            <w:r w:rsidRPr="0031400B">
              <w:rPr>
                <w:b w:val="0"/>
              </w:rPr>
              <w:t>outcomes (e.g., longer timeframes, greater cost).</w:t>
            </w:r>
          </w:p>
        </w:tc>
      </w:tr>
      <w:tr w:rsidR="0037255B" w:rsidTr="00A7741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8"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rPr>
                <w:b w:val="0"/>
              </w:rPr>
              <w:lastRenderedPageBreak/>
              <w:t>10</w:t>
            </w:r>
          </w:p>
        </w:tc>
        <w:tc>
          <w:tcPr>
            <w:tcW w:w="1620"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93206D">
              <w:t>Catastrophic</w:t>
            </w:r>
          </w:p>
        </w:tc>
        <w:tc>
          <w:tcPr>
            <w:cnfStyle w:val="000100000000" w:firstRow="0" w:lastRow="0" w:firstColumn="0" w:lastColumn="1" w:oddVBand="0" w:evenVBand="0" w:oddHBand="0" w:evenHBand="0" w:firstRowFirstColumn="0" w:firstRowLastColumn="0" w:lastRowFirstColumn="0" w:lastRowLastColumn="0"/>
            <w:tcW w:w="6480" w:type="dxa"/>
            <w:tcBorders>
              <w:left w:val="none" w:sz="0" w:space="0" w:color="auto"/>
            </w:tcBorders>
            <w:tcMar>
              <w:top w:w="43" w:type="dxa"/>
              <w:left w:w="115" w:type="dxa"/>
              <w:bottom w:w="43" w:type="dxa"/>
              <w:right w:w="115" w:type="dxa"/>
            </w:tcMar>
          </w:tcPr>
          <w:p w:rsidR="0037255B" w:rsidRPr="0031400B" w:rsidRDefault="0037255B" w:rsidP="00006CA8">
            <w:pPr>
              <w:rPr>
                <w:b w:val="0"/>
              </w:rPr>
            </w:pPr>
            <w:r w:rsidRPr="0031400B">
              <w:rPr>
                <w:b w:val="0"/>
              </w:rPr>
              <w:t>Risk occurrence will derail operations and the SMA will not be able to accomplish one or more primary objectives.</w:t>
            </w:r>
            <w:r w:rsidR="00956A27">
              <w:rPr>
                <w:b w:val="0"/>
              </w:rPr>
              <w:t xml:space="preserve"> </w:t>
            </w:r>
            <w:r w:rsidRPr="0031400B">
              <w:rPr>
                <w:b w:val="0"/>
              </w:rPr>
              <w:t xml:space="preserve"> The incident will tarnish the agency’s reputation and temporary fixes will not be feasible to mitigate the risks. </w:t>
            </w:r>
          </w:p>
        </w:tc>
      </w:tr>
    </w:tbl>
    <w:p w:rsidR="0037255B" w:rsidRDefault="0037255B" w:rsidP="0037255B"/>
    <w:p w:rsidR="0037255B" w:rsidRPr="00A77414" w:rsidRDefault="005269DC" w:rsidP="0037255B">
      <w:pPr>
        <w:rPr>
          <w:b/>
        </w:rPr>
      </w:pPr>
      <w:r>
        <w:fldChar w:fldCharType="begin"/>
      </w:r>
      <w:r>
        <w:instrText xml:space="preserve"> REF _Ref277244163 \h  \* MERGEFORMAT </w:instrText>
      </w:r>
      <w:r>
        <w:fldChar w:fldCharType="separate"/>
      </w:r>
      <w:r w:rsidR="00C632E2">
        <w:t>Table 3</w:t>
      </w:r>
      <w:r>
        <w:fldChar w:fldCharType="end"/>
      </w:r>
      <w:r w:rsidR="0037255B">
        <w:t xml:space="preserve"> </w:t>
      </w:r>
      <w:r w:rsidR="00956A27">
        <w:t xml:space="preserve">identifies </w:t>
      </w:r>
      <w:r w:rsidR="0037255B">
        <w:t>the risk levels associated with the risk scores calculated by multiplying the severity and likelihood values.</w:t>
      </w:r>
    </w:p>
    <w:p w:rsidR="0037255B" w:rsidRDefault="0037255B" w:rsidP="00A77414">
      <w:pPr>
        <w:pStyle w:val="Caption"/>
      </w:pPr>
      <w:bookmarkStart w:id="34" w:name="_Ref277244163"/>
      <w:bookmarkStart w:id="35" w:name="_Toc228352813"/>
      <w:bookmarkStart w:id="36" w:name="_Toc228630422"/>
      <w:bookmarkStart w:id="37" w:name="_Toc229329865"/>
      <w:bookmarkStart w:id="38" w:name="_Toc244524618"/>
      <w:bookmarkStart w:id="39" w:name="_Toc278536777"/>
      <w:r>
        <w:t xml:space="preserve">Table </w:t>
      </w:r>
      <w:r w:rsidR="005269DC">
        <w:fldChar w:fldCharType="begin"/>
      </w:r>
      <w:r w:rsidR="005269DC">
        <w:instrText xml:space="preserve"> SEQ Table \* ARABIC </w:instrText>
      </w:r>
      <w:r w:rsidR="005269DC">
        <w:fldChar w:fldCharType="separate"/>
      </w:r>
      <w:r w:rsidR="00C632E2">
        <w:rPr>
          <w:noProof/>
        </w:rPr>
        <w:t>3</w:t>
      </w:r>
      <w:r w:rsidR="005269DC">
        <w:rPr>
          <w:noProof/>
        </w:rPr>
        <w:fldChar w:fldCharType="end"/>
      </w:r>
      <w:bookmarkEnd w:id="34"/>
      <w:r>
        <w:t>: Risk Levels</w:t>
      </w:r>
      <w:bookmarkEnd w:id="35"/>
      <w:bookmarkEnd w:id="36"/>
      <w:bookmarkEnd w:id="37"/>
      <w:bookmarkEnd w:id="38"/>
      <w:bookmarkEnd w:id="39"/>
    </w:p>
    <w:tbl>
      <w:tblPr>
        <w:tblStyle w:val="MediumShading1-Accent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isk Levels"/>
        <w:tblDescription w:val="Provides risk scores for each risk level."/>
      </w:tblPr>
      <w:tblGrid>
        <w:gridCol w:w="1980"/>
        <w:gridCol w:w="2430"/>
      </w:tblGrid>
      <w:tr w:rsidR="0037255B" w:rsidRPr="00111041" w:rsidTr="00956A27">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right w:val="none" w:sz="0" w:space="0" w:color="auto"/>
            </w:tcBorders>
          </w:tcPr>
          <w:p w:rsidR="00104EDD" w:rsidRDefault="0037255B">
            <w:pPr>
              <w:jc w:val="center"/>
              <w:rPr>
                <w:b w:val="0"/>
                <w:bCs w:val="0"/>
                <w:color w:val="auto"/>
              </w:rPr>
            </w:pPr>
            <w:r w:rsidRPr="0031400B">
              <w:t>Risk Score</w:t>
            </w:r>
          </w:p>
        </w:tc>
        <w:tc>
          <w:tcPr>
            <w:tcW w:w="2430" w:type="dxa"/>
            <w:tcBorders>
              <w:top w:val="none" w:sz="0" w:space="0" w:color="auto"/>
              <w:left w:val="none" w:sz="0" w:space="0" w:color="auto"/>
              <w:bottom w:val="none" w:sz="0" w:space="0" w:color="auto"/>
              <w:right w:val="none" w:sz="0" w:space="0" w:color="auto"/>
            </w:tcBorders>
          </w:tcPr>
          <w:p w:rsidR="00104EDD" w:rsidRDefault="0037255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31400B">
              <w:t>Risk Level</w:t>
            </w:r>
          </w:p>
        </w:tc>
      </w:tr>
      <w:tr w:rsidR="0037255B" w:rsidRPr="00111041" w:rsidTr="00956A27">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80" w:type="dxa"/>
            <w:tcBorders>
              <w:right w:val="none" w:sz="0" w:space="0" w:color="auto"/>
            </w:tcBorders>
          </w:tcPr>
          <w:p w:rsidR="00104EDD" w:rsidRDefault="0037255B">
            <w:pPr>
              <w:jc w:val="center"/>
              <w:rPr>
                <w:b w:val="0"/>
                <w:bCs w:val="0"/>
              </w:rPr>
            </w:pPr>
            <w:r w:rsidRPr="0031400B">
              <w:rPr>
                <w:b w:val="0"/>
              </w:rPr>
              <w:t>1-3</w:t>
            </w:r>
          </w:p>
        </w:tc>
        <w:tc>
          <w:tcPr>
            <w:tcW w:w="2430" w:type="dxa"/>
            <w:tcBorders>
              <w:left w:val="none" w:sz="0" w:space="0" w:color="auto"/>
            </w:tcBorders>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31400B">
              <w:t>Low</w:t>
            </w:r>
          </w:p>
        </w:tc>
      </w:tr>
      <w:tr w:rsidR="0037255B" w:rsidRPr="00111041" w:rsidTr="00956A27">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80" w:type="dxa"/>
            <w:tcBorders>
              <w:right w:val="none" w:sz="0" w:space="0" w:color="auto"/>
            </w:tcBorders>
          </w:tcPr>
          <w:p w:rsidR="00104EDD" w:rsidRDefault="0037255B">
            <w:pPr>
              <w:jc w:val="center"/>
              <w:rPr>
                <w:b w:val="0"/>
                <w:bCs w:val="0"/>
              </w:rPr>
            </w:pPr>
            <w:r w:rsidRPr="0031400B">
              <w:rPr>
                <w:b w:val="0"/>
              </w:rPr>
              <w:t>4-5</w:t>
            </w:r>
          </w:p>
        </w:tc>
        <w:tc>
          <w:tcPr>
            <w:tcW w:w="2430" w:type="dxa"/>
            <w:tcBorders>
              <w:left w:val="none" w:sz="0" w:space="0" w:color="auto"/>
            </w:tcBorders>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31400B">
              <w:t>Moderate</w:t>
            </w:r>
          </w:p>
        </w:tc>
      </w:tr>
      <w:tr w:rsidR="0037255B" w:rsidRPr="00111041" w:rsidTr="00956A27">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80" w:type="dxa"/>
            <w:tcBorders>
              <w:right w:val="none" w:sz="0" w:space="0" w:color="auto"/>
            </w:tcBorders>
          </w:tcPr>
          <w:p w:rsidR="00104EDD" w:rsidRDefault="0037255B">
            <w:pPr>
              <w:jc w:val="center"/>
              <w:rPr>
                <w:b w:val="0"/>
                <w:bCs w:val="0"/>
              </w:rPr>
            </w:pPr>
            <w:r w:rsidRPr="0031400B">
              <w:rPr>
                <w:b w:val="0"/>
              </w:rPr>
              <w:t>6-9</w:t>
            </w:r>
          </w:p>
        </w:tc>
        <w:tc>
          <w:tcPr>
            <w:tcW w:w="2430" w:type="dxa"/>
            <w:tcBorders>
              <w:left w:val="none" w:sz="0" w:space="0" w:color="auto"/>
            </w:tcBorders>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31400B">
              <w:t>High</w:t>
            </w:r>
          </w:p>
        </w:tc>
      </w:tr>
      <w:tr w:rsidR="0037255B" w:rsidRPr="00111041" w:rsidTr="00956A27">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80" w:type="dxa"/>
            <w:tcBorders>
              <w:right w:val="none" w:sz="0" w:space="0" w:color="auto"/>
            </w:tcBorders>
          </w:tcPr>
          <w:p w:rsidR="00104EDD" w:rsidRDefault="0037255B">
            <w:pPr>
              <w:jc w:val="center"/>
              <w:rPr>
                <w:b w:val="0"/>
                <w:bCs w:val="0"/>
              </w:rPr>
            </w:pPr>
            <w:r w:rsidRPr="0031400B">
              <w:rPr>
                <w:b w:val="0"/>
              </w:rPr>
              <w:t>10-30</w:t>
            </w:r>
          </w:p>
        </w:tc>
        <w:tc>
          <w:tcPr>
            <w:tcW w:w="2430" w:type="dxa"/>
            <w:tcBorders>
              <w:left w:val="none" w:sz="0" w:space="0" w:color="auto"/>
            </w:tcBorders>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31400B">
              <w:t>Catastrophic</w:t>
            </w:r>
          </w:p>
        </w:tc>
      </w:tr>
    </w:tbl>
    <w:p w:rsidR="0037255B" w:rsidRPr="004B3F9A" w:rsidRDefault="0037255B" w:rsidP="0031400B">
      <w:pPr>
        <w:pStyle w:val="Heading1"/>
        <w:numPr>
          <w:ilvl w:val="1"/>
          <w:numId w:val="1"/>
        </w:numPr>
        <w:ind w:left="720" w:hanging="720"/>
      </w:pPr>
      <w:bookmarkStart w:id="40" w:name="_Toc228352814"/>
      <w:bookmarkStart w:id="41" w:name="_Toc230686529"/>
      <w:bookmarkStart w:id="42" w:name="_Toc278536808"/>
      <w:r w:rsidRPr="004B3F9A">
        <w:t>Work Effort (WE) Scor</w:t>
      </w:r>
      <w:bookmarkEnd w:id="40"/>
      <w:bookmarkEnd w:id="41"/>
      <w:r w:rsidR="00A77414">
        <w:t>e</w:t>
      </w:r>
      <w:bookmarkEnd w:id="42"/>
    </w:p>
    <w:p w:rsidR="0037255B" w:rsidRDefault="0037255B" w:rsidP="0037255B">
      <w:r>
        <w:t>The Work Effort (WE) is comprised of the Transition Effort (</w:t>
      </w:r>
      <w:proofErr w:type="spellStart"/>
      <w:r>
        <w:t>TrE</w:t>
      </w:r>
      <w:proofErr w:type="spellEnd"/>
      <w:r>
        <w:t xml:space="preserve">) and the Steady State Effort (SSE). </w:t>
      </w:r>
      <w:r w:rsidR="00956A27">
        <w:t xml:space="preserve"> </w:t>
      </w:r>
      <w:r>
        <w:t xml:space="preserve">The </w:t>
      </w:r>
      <w:proofErr w:type="spellStart"/>
      <w:r>
        <w:t>TrE</w:t>
      </w:r>
      <w:proofErr w:type="spellEnd"/>
      <w:r>
        <w:t xml:space="preserve"> is the effort to mitigate the risk as part of the ICD-10 implementation program, while the SSE is the ongoing effort required to continue mitigating the risk after the implementation.  </w:t>
      </w:r>
      <w:r w:rsidR="005269DC">
        <w:fldChar w:fldCharType="begin"/>
      </w:r>
      <w:r w:rsidR="005269DC">
        <w:instrText xml:space="preserve"> REF _Ref277244290 \h  \* MERGEFORMAT </w:instrText>
      </w:r>
      <w:r w:rsidR="005269DC">
        <w:fldChar w:fldCharType="separate"/>
      </w:r>
      <w:r w:rsidR="00C632E2">
        <w:t>Table 4</w:t>
      </w:r>
      <w:r w:rsidR="005269DC">
        <w:fldChar w:fldCharType="end"/>
      </w:r>
      <w:r>
        <w:t xml:space="preserve"> </w:t>
      </w:r>
      <w:r w:rsidR="00956A27">
        <w:t xml:space="preserve">defines </w:t>
      </w:r>
      <w:r>
        <w:t>the work effort terms.</w:t>
      </w:r>
    </w:p>
    <w:p w:rsidR="0037255B" w:rsidRDefault="0037255B" w:rsidP="00A77414">
      <w:pPr>
        <w:pStyle w:val="Caption"/>
      </w:pPr>
      <w:bookmarkStart w:id="43" w:name="_Ref277244290"/>
      <w:bookmarkStart w:id="44" w:name="_Toc225570896"/>
      <w:bookmarkStart w:id="45" w:name="_Toc228352815"/>
      <w:bookmarkStart w:id="46" w:name="_Toc228630423"/>
      <w:bookmarkStart w:id="47" w:name="_Toc229329866"/>
      <w:bookmarkStart w:id="48" w:name="_Toc244524619"/>
      <w:bookmarkStart w:id="49" w:name="_Toc278536778"/>
      <w:r>
        <w:t xml:space="preserve">Table </w:t>
      </w:r>
      <w:r w:rsidR="005269DC">
        <w:fldChar w:fldCharType="begin"/>
      </w:r>
      <w:r w:rsidR="005269DC">
        <w:instrText xml:space="preserve"> SEQ Table \* ARABIC </w:instrText>
      </w:r>
      <w:r w:rsidR="005269DC">
        <w:fldChar w:fldCharType="separate"/>
      </w:r>
      <w:r w:rsidR="00C632E2">
        <w:rPr>
          <w:noProof/>
        </w:rPr>
        <w:t>4</w:t>
      </w:r>
      <w:r w:rsidR="005269DC">
        <w:rPr>
          <w:noProof/>
        </w:rPr>
        <w:fldChar w:fldCharType="end"/>
      </w:r>
      <w:bookmarkEnd w:id="43"/>
      <w:r>
        <w:t>: Definitions of Work Effort Terms</w:t>
      </w:r>
      <w:bookmarkEnd w:id="44"/>
      <w:bookmarkEnd w:id="45"/>
      <w:bookmarkEnd w:id="46"/>
      <w:bookmarkEnd w:id="47"/>
      <w:bookmarkEnd w:id="48"/>
      <w:bookmarkEnd w:id="49"/>
    </w:p>
    <w:tbl>
      <w:tblPr>
        <w:tblStyle w:val="MediumShading1-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efinitions of Weork Effort Terms"/>
        <w:tblDescription w:val="Provides definitions for transition effort and steady state effort."/>
      </w:tblPr>
      <w:tblGrid>
        <w:gridCol w:w="3168"/>
        <w:gridCol w:w="6120"/>
      </w:tblGrid>
      <w:tr w:rsidR="0037255B" w:rsidRPr="0031400B" w:rsidTr="00C632E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68"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rPr>
                <w:b w:val="0"/>
                <w:bCs w:val="0"/>
                <w:color w:val="auto"/>
              </w:rPr>
            </w:pPr>
            <w:r w:rsidRPr="0031400B">
              <w:t>Term</w:t>
            </w:r>
          </w:p>
        </w:tc>
        <w:tc>
          <w:tcPr>
            <w:tcW w:w="612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31400B">
              <w:t>Definition</w:t>
            </w:r>
          </w:p>
        </w:tc>
      </w:tr>
      <w:tr w:rsidR="0037255B" w:rsidRPr="0031400B" w:rsidTr="00C632E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68" w:type="dxa"/>
            <w:tcBorders>
              <w:right w:val="none" w:sz="0" w:space="0" w:color="auto"/>
            </w:tcBorders>
            <w:tcMar>
              <w:top w:w="43" w:type="dxa"/>
              <w:left w:w="115" w:type="dxa"/>
              <w:bottom w:w="43" w:type="dxa"/>
              <w:right w:w="115" w:type="dxa"/>
            </w:tcMar>
          </w:tcPr>
          <w:p w:rsidR="0037255B" w:rsidRPr="0031400B" w:rsidRDefault="0037255B" w:rsidP="00006CA8">
            <w:r w:rsidRPr="0031400B">
              <w:t>Transition Effort (</w:t>
            </w:r>
            <w:proofErr w:type="spellStart"/>
            <w:r w:rsidRPr="0031400B">
              <w:t>TrE</w:t>
            </w:r>
            <w:proofErr w:type="spellEnd"/>
            <w:r w:rsidRPr="0031400B">
              <w:t>)</w:t>
            </w:r>
          </w:p>
        </w:tc>
        <w:tc>
          <w:tcPr>
            <w:tcW w:w="6120" w:type="dxa"/>
            <w:tcBorders>
              <w:left w:val="none" w:sz="0" w:space="0" w:color="auto"/>
            </w:tcBorders>
            <w:tcMar>
              <w:top w:w="43" w:type="dxa"/>
              <w:left w:w="115" w:type="dxa"/>
              <w:bottom w:w="43" w:type="dxa"/>
              <w:right w:w="115" w:type="dxa"/>
            </w:tcMar>
          </w:tcPr>
          <w:p w:rsidR="0037255B" w:rsidRPr="0031400B" w:rsidRDefault="0037255B" w:rsidP="00006CA8">
            <w:pPr>
              <w:cnfStyle w:val="000000100000" w:firstRow="0" w:lastRow="0" w:firstColumn="0" w:lastColumn="0" w:oddVBand="0" w:evenVBand="0" w:oddHBand="1" w:evenHBand="0" w:firstRowFirstColumn="0" w:firstRowLastColumn="0" w:lastRowFirstColumn="0" w:lastRowLastColumn="0"/>
            </w:pPr>
            <w:r w:rsidRPr="0031400B">
              <w:t xml:space="preserve">The work effort required during the ICD-10 implementation program to prepare for operating with ICD-10 codes and to ensure that the risk is mitigated. </w:t>
            </w:r>
          </w:p>
        </w:tc>
      </w:tr>
      <w:tr w:rsidR="0037255B" w:rsidRPr="0031400B" w:rsidTr="00C632E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68" w:type="dxa"/>
            <w:tcBorders>
              <w:right w:val="none" w:sz="0" w:space="0" w:color="auto"/>
            </w:tcBorders>
            <w:tcMar>
              <w:top w:w="43" w:type="dxa"/>
              <w:left w:w="115" w:type="dxa"/>
              <w:bottom w:w="43" w:type="dxa"/>
              <w:right w:w="115" w:type="dxa"/>
            </w:tcMar>
          </w:tcPr>
          <w:p w:rsidR="0037255B" w:rsidRPr="0031400B" w:rsidRDefault="0037255B" w:rsidP="00006CA8">
            <w:r w:rsidRPr="0031400B">
              <w:t>Steady State Effort (SSE)</w:t>
            </w:r>
          </w:p>
        </w:tc>
        <w:tc>
          <w:tcPr>
            <w:tcW w:w="6120" w:type="dxa"/>
            <w:tcBorders>
              <w:left w:val="none" w:sz="0" w:space="0" w:color="auto"/>
            </w:tcBorders>
            <w:tcMar>
              <w:top w:w="43" w:type="dxa"/>
              <w:left w:w="115" w:type="dxa"/>
              <w:bottom w:w="43" w:type="dxa"/>
              <w:right w:w="115" w:type="dxa"/>
            </w:tcMar>
          </w:tcPr>
          <w:p w:rsidR="0037255B" w:rsidRPr="0031400B" w:rsidRDefault="0037255B" w:rsidP="00A77414">
            <w:pPr>
              <w:cnfStyle w:val="000000010000" w:firstRow="0" w:lastRow="0" w:firstColumn="0" w:lastColumn="0" w:oddVBand="0" w:evenVBand="0" w:oddHBand="0" w:evenHBand="1" w:firstRowFirstColumn="0" w:firstRowLastColumn="0" w:lastRowFirstColumn="0" w:lastRowLastColumn="0"/>
            </w:pPr>
            <w:r w:rsidRPr="0031400B">
              <w:t>The work effort required to ensure the risk continues to be addressed after ICD-10 implementation.</w:t>
            </w:r>
            <w:r w:rsidRPr="0031400B">
              <w:rPr>
                <w:rStyle w:val="FootnoteReference"/>
                <w:rFonts w:ascii="Times New Roman" w:hAnsi="Times New Roman"/>
                <w:sz w:val="24"/>
              </w:rPr>
              <w:footnoteReference w:id="3"/>
            </w:r>
            <w:r w:rsidRPr="0031400B">
              <w:t xml:space="preserve"> </w:t>
            </w:r>
          </w:p>
        </w:tc>
      </w:tr>
    </w:tbl>
    <w:p w:rsidR="0037255B" w:rsidRDefault="0037255B" w:rsidP="0037255B">
      <w:pPr>
        <w:pStyle w:val="BodyText"/>
      </w:pPr>
    </w:p>
    <w:p w:rsidR="0037255B" w:rsidRDefault="0037255B" w:rsidP="0037255B">
      <w:r>
        <w:t>The Work Effort (WE) is equal to the sum of the Transition Effort (</w:t>
      </w:r>
      <w:proofErr w:type="spellStart"/>
      <w:r>
        <w:t>TrE</w:t>
      </w:r>
      <w:proofErr w:type="spellEnd"/>
      <w:r>
        <w:t>) score and Steady State Effort (SSE).</w:t>
      </w:r>
    </w:p>
    <w:p w:rsidR="0031400B" w:rsidRDefault="0031400B" w:rsidP="0037255B">
      <w:bookmarkStart w:id="50" w:name="_Toc228352816"/>
    </w:p>
    <w:p w:rsidR="0031400B" w:rsidRDefault="0037255B" w:rsidP="0031400B">
      <w:r w:rsidRPr="00FC1CCE">
        <w:t>W</w:t>
      </w:r>
      <w:r>
        <w:t xml:space="preserve">ork </w:t>
      </w:r>
      <w:r w:rsidRPr="00FC1CCE">
        <w:t>E</w:t>
      </w:r>
      <w:r>
        <w:t>ffort (WE)</w:t>
      </w:r>
      <w:r w:rsidRPr="00FC1CCE">
        <w:t xml:space="preserve"> = Tr</w:t>
      </w:r>
      <w:r>
        <w:t xml:space="preserve">ansition </w:t>
      </w:r>
      <w:r w:rsidRPr="00FC1CCE">
        <w:t>E</w:t>
      </w:r>
      <w:r>
        <w:t>ffort (</w:t>
      </w:r>
      <w:proofErr w:type="spellStart"/>
      <w:r>
        <w:t>TrE</w:t>
      </w:r>
      <w:proofErr w:type="spellEnd"/>
      <w:r>
        <w:t>)</w:t>
      </w:r>
      <w:r w:rsidRPr="00FC1CCE">
        <w:t xml:space="preserve"> + S</w:t>
      </w:r>
      <w:r>
        <w:t xml:space="preserve">teady </w:t>
      </w:r>
      <w:r w:rsidRPr="00FC1CCE">
        <w:t>S</w:t>
      </w:r>
      <w:r>
        <w:t>tate Effort</w:t>
      </w:r>
      <w:r w:rsidRPr="00FC1CCE">
        <w:t xml:space="preserve"> </w:t>
      </w:r>
      <w:r>
        <w:t>(SSE)</w:t>
      </w:r>
      <w:bookmarkEnd w:id="50"/>
    </w:p>
    <w:p w:rsidR="0031400B" w:rsidRDefault="0031400B" w:rsidP="0031400B"/>
    <w:p w:rsidR="0037255B" w:rsidRPr="0031400B" w:rsidRDefault="0037255B" w:rsidP="0031400B">
      <w:r w:rsidRPr="0031400B">
        <w:t>The</w:t>
      </w:r>
      <w:r>
        <w:t xml:space="preserve"> </w:t>
      </w:r>
      <w:r w:rsidRPr="0031400B">
        <w:t>impact analysis scores the Transition Effort (</w:t>
      </w:r>
      <w:proofErr w:type="spellStart"/>
      <w:r w:rsidRPr="0031400B">
        <w:t>TrE</w:t>
      </w:r>
      <w:proofErr w:type="spellEnd"/>
      <w:r w:rsidRPr="0031400B">
        <w:t>) and the Steady State Effort (SSE):</w:t>
      </w:r>
    </w:p>
    <w:p w:rsidR="0031400B" w:rsidRDefault="0037255B" w:rsidP="0031400B">
      <w:r w:rsidRPr="009B1821">
        <w:rPr>
          <w:b/>
        </w:rPr>
        <w:lastRenderedPageBreak/>
        <w:t>Transition Effort (</w:t>
      </w:r>
      <w:proofErr w:type="spellStart"/>
      <w:r w:rsidRPr="009B1821">
        <w:rPr>
          <w:b/>
        </w:rPr>
        <w:t>TrE</w:t>
      </w:r>
      <w:proofErr w:type="spellEnd"/>
      <w:r w:rsidRPr="009B1821">
        <w:rPr>
          <w:b/>
        </w:rPr>
        <w:t>)</w:t>
      </w:r>
      <w:r>
        <w:t xml:space="preserve"> scores range</w:t>
      </w:r>
      <w:r w:rsidRPr="009B1821">
        <w:t xml:space="preserve"> from 0 to 3.  </w:t>
      </w:r>
      <w:r w:rsidR="002B7887">
        <w:t>If an activity requires no effort, it will receive a score of 0.  If an activity requires high level of work effort to address the ris</w:t>
      </w:r>
      <w:r w:rsidR="007120F3">
        <w:t>k and prepare for ICD-10</w:t>
      </w:r>
      <w:r w:rsidR="002B7887">
        <w:t>, it will receive a score of 3.</w:t>
      </w:r>
      <w:r w:rsidR="007120F3" w:rsidRPr="009B1821" w:rsidDel="007120F3">
        <w:t xml:space="preserve"> </w:t>
      </w:r>
    </w:p>
    <w:p w:rsidR="007120F3" w:rsidRPr="009B1821" w:rsidRDefault="007120F3" w:rsidP="0031400B"/>
    <w:p w:rsidR="0037255B" w:rsidRPr="009B1821" w:rsidRDefault="0037255B" w:rsidP="0031400B">
      <w:r w:rsidRPr="009B1821">
        <w:rPr>
          <w:b/>
        </w:rPr>
        <w:t>Steady State (SSE)</w:t>
      </w:r>
      <w:r w:rsidRPr="009B1821">
        <w:t xml:space="preserve"> scores range from 0 to 3.  A score of 0 indicates that no effort is required and a score of 3 indicates that a high level of work effort is needed to ensure the risk continues to be addressed after ICD-10 implementation </w:t>
      </w:r>
    </w:p>
    <w:p w:rsidR="0037255B" w:rsidRPr="009B1821" w:rsidRDefault="0037255B" w:rsidP="0031400B"/>
    <w:p w:rsidR="0037255B" w:rsidRDefault="0037255B" w:rsidP="0031400B">
      <w:r w:rsidRPr="009B1821">
        <w:t>Add the Transition Effort (</w:t>
      </w:r>
      <w:proofErr w:type="spellStart"/>
      <w:r w:rsidRPr="009B1821">
        <w:t>TrE</w:t>
      </w:r>
      <w:proofErr w:type="spellEnd"/>
      <w:r w:rsidRPr="009B1821">
        <w:t xml:space="preserve">) score </w:t>
      </w:r>
      <w:r w:rsidR="00A77414">
        <w:t>to</w:t>
      </w:r>
      <w:r w:rsidR="00A77414" w:rsidRPr="009B1821">
        <w:t xml:space="preserve"> </w:t>
      </w:r>
      <w:r w:rsidRPr="009B1821">
        <w:t xml:space="preserve">the Steady State (SSE) score </w:t>
      </w:r>
      <w:r w:rsidR="00A77414">
        <w:t>to equal</w:t>
      </w:r>
      <w:r w:rsidRPr="009B1821">
        <w:t xml:space="preserve"> a Work Effort (WE) score ranging from 0 to 6.  A Work Effort score of 0 indicates that no activity is required and a score of 6 indicates that a high level of work effort </w:t>
      </w:r>
      <w:r w:rsidR="008D19D4">
        <w:t>along with</w:t>
      </w:r>
      <w:r w:rsidRPr="009B1821">
        <w:t xml:space="preserve"> a significant effort of resources</w:t>
      </w:r>
      <w:r w:rsidR="008D19D4">
        <w:t xml:space="preserve"> will likely be required</w:t>
      </w:r>
      <w:r w:rsidRPr="009B1821">
        <w:t xml:space="preserve">.  </w:t>
      </w:r>
    </w:p>
    <w:p w:rsidR="0031400B" w:rsidRPr="009B1821" w:rsidRDefault="0031400B" w:rsidP="0031400B"/>
    <w:p w:rsidR="0037255B" w:rsidRDefault="0037255B" w:rsidP="0031400B">
      <w:r>
        <w:t>The SMA should perform a detailed cost or</w:t>
      </w:r>
      <w:r w:rsidRPr="009B1821">
        <w:t xml:space="preserve"> resource estimate to support the </w:t>
      </w:r>
      <w:proofErr w:type="gramStart"/>
      <w:r>
        <w:t>WE</w:t>
      </w:r>
      <w:proofErr w:type="gramEnd"/>
      <w:r>
        <w:t xml:space="preserve"> </w:t>
      </w:r>
      <w:r w:rsidRPr="009B1821">
        <w:t xml:space="preserve">scoring.  </w:t>
      </w:r>
      <w:r>
        <w:t>If this is not possible</w:t>
      </w:r>
      <w:r w:rsidR="008D19D4">
        <w:t>,</w:t>
      </w:r>
      <w:r>
        <w:t xml:space="preserve"> the SMA can collaborate</w:t>
      </w:r>
      <w:r w:rsidRPr="009B1821">
        <w:t xml:space="preserve"> with the SMEs to assign </w:t>
      </w:r>
      <w:r>
        <w:t xml:space="preserve">WE </w:t>
      </w:r>
      <w:r w:rsidRPr="009B1821">
        <w:t xml:space="preserve">scores to provide an initial indication of the relative level of effort required across business and functional areas to prepare for ICD-10.  </w:t>
      </w:r>
      <w:bookmarkStart w:id="51" w:name="_Toc228352817"/>
      <w:r w:rsidR="002D0E56" w:rsidRPr="009B1821">
        <w:fldChar w:fldCharType="begin"/>
      </w:r>
      <w:r w:rsidRPr="009B1821">
        <w:instrText xml:space="preserve"> REF _Ref277244515 \h  \* MERGEFORMAT </w:instrText>
      </w:r>
      <w:r w:rsidR="002D0E56" w:rsidRPr="009B1821">
        <w:fldChar w:fldCharType="separate"/>
      </w:r>
      <w:r w:rsidR="00C632E2">
        <w:t xml:space="preserve">Table </w:t>
      </w:r>
      <w:r w:rsidR="00C632E2">
        <w:rPr>
          <w:noProof/>
        </w:rPr>
        <w:t>5</w:t>
      </w:r>
      <w:r w:rsidR="002D0E56" w:rsidRPr="009B1821">
        <w:fldChar w:fldCharType="end"/>
      </w:r>
      <w:r>
        <w:t xml:space="preserve"> </w:t>
      </w:r>
      <w:r w:rsidRPr="009B1821">
        <w:t>describes each score and the associated work effort.</w:t>
      </w:r>
      <w:bookmarkEnd w:id="51"/>
    </w:p>
    <w:p w:rsidR="0037255B" w:rsidRDefault="0037255B" w:rsidP="00A77414">
      <w:pPr>
        <w:pStyle w:val="Caption"/>
      </w:pPr>
      <w:bookmarkStart w:id="52" w:name="_Ref277244515"/>
      <w:bookmarkStart w:id="53" w:name="_Toc225570897"/>
      <w:bookmarkStart w:id="54" w:name="_Toc228352818"/>
      <w:bookmarkStart w:id="55" w:name="_Toc228630424"/>
      <w:bookmarkStart w:id="56" w:name="_Toc229329867"/>
      <w:bookmarkStart w:id="57" w:name="_Toc244524620"/>
      <w:bookmarkStart w:id="58" w:name="_Toc278536779"/>
      <w:r>
        <w:t xml:space="preserve">Table </w:t>
      </w:r>
      <w:r w:rsidR="005269DC">
        <w:fldChar w:fldCharType="begin"/>
      </w:r>
      <w:r w:rsidR="005269DC">
        <w:instrText xml:space="preserve"> SEQ Table \* ARABIC </w:instrText>
      </w:r>
      <w:r w:rsidR="005269DC">
        <w:fldChar w:fldCharType="separate"/>
      </w:r>
      <w:r w:rsidR="00C632E2">
        <w:rPr>
          <w:noProof/>
        </w:rPr>
        <w:t>5</w:t>
      </w:r>
      <w:r w:rsidR="005269DC">
        <w:rPr>
          <w:noProof/>
        </w:rPr>
        <w:fldChar w:fldCharType="end"/>
      </w:r>
      <w:bookmarkEnd w:id="52"/>
      <w:r>
        <w:t>: Work</w:t>
      </w:r>
      <w:r w:rsidRPr="007555A3">
        <w:t xml:space="preserve"> Effort Scoring for Transition and Steady State</w:t>
      </w:r>
      <w:r>
        <w:t xml:space="preserve"> Phases</w:t>
      </w:r>
      <w:bookmarkEnd w:id="53"/>
      <w:r>
        <w:rPr>
          <w:rStyle w:val="FootnoteReference"/>
        </w:rPr>
        <w:footnoteReference w:id="4"/>
      </w:r>
      <w:bookmarkEnd w:id="54"/>
      <w:bookmarkEnd w:id="55"/>
      <w:bookmarkEnd w:id="56"/>
      <w:bookmarkEnd w:id="57"/>
      <w:bookmarkEnd w:id="58"/>
    </w:p>
    <w:tbl>
      <w:tblPr>
        <w:tblStyle w:val="MediumShading1-Accent11"/>
        <w:tblW w:w="9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ork Effort Scoring for Transition and Steady State Phases"/>
        <w:tblDescription w:val="Provides vaules and descriptions for each level of effort."/>
      </w:tblPr>
      <w:tblGrid>
        <w:gridCol w:w="1071"/>
        <w:gridCol w:w="1216"/>
        <w:gridCol w:w="7402"/>
      </w:tblGrid>
      <w:tr w:rsidR="0037255B" w:rsidRPr="0031400B" w:rsidTr="00C632E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71"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rPr>
                <w:b w:val="0"/>
                <w:bCs w:val="0"/>
                <w:color w:val="auto"/>
              </w:rPr>
            </w:pPr>
            <w:r w:rsidRPr="0031400B">
              <w:rPr>
                <w:bCs w:val="0"/>
              </w:rPr>
              <w:t>Value</w:t>
            </w:r>
          </w:p>
        </w:tc>
        <w:tc>
          <w:tcPr>
            <w:tcW w:w="1216"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037880">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Pr>
                <w:bCs w:val="0"/>
              </w:rPr>
              <w:t>Level of Effort</w:t>
            </w:r>
          </w:p>
        </w:tc>
        <w:tc>
          <w:tcPr>
            <w:tcW w:w="7402"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37255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31400B">
              <w:rPr>
                <w:bCs w:val="0"/>
              </w:rPr>
              <w:t>Description</w:t>
            </w:r>
          </w:p>
        </w:tc>
      </w:tr>
      <w:tr w:rsidR="0037255B" w:rsidRPr="0031400B" w:rsidTr="00C632E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1"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t>0</w:t>
            </w:r>
          </w:p>
        </w:tc>
        <w:tc>
          <w:tcPr>
            <w:tcW w:w="1216"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31400B">
              <w:t>None</w:t>
            </w:r>
          </w:p>
        </w:tc>
        <w:tc>
          <w:tcPr>
            <w:tcW w:w="7402" w:type="dxa"/>
            <w:tcBorders>
              <w:left w:val="none" w:sz="0" w:space="0" w:color="auto"/>
            </w:tcBorders>
            <w:tcMar>
              <w:top w:w="43" w:type="dxa"/>
              <w:left w:w="115" w:type="dxa"/>
              <w:bottom w:w="43" w:type="dxa"/>
              <w:right w:w="115" w:type="dxa"/>
            </w:tcMar>
          </w:tcPr>
          <w:p w:rsidR="0037255B" w:rsidRPr="0031400B" w:rsidRDefault="0037255B" w:rsidP="00B32CE4">
            <w:pPr>
              <w:cnfStyle w:val="000000100000" w:firstRow="0" w:lastRow="0" w:firstColumn="0" w:lastColumn="0" w:oddVBand="0" w:evenVBand="0" w:oddHBand="1" w:evenHBand="0" w:firstRowFirstColumn="0" w:firstRowLastColumn="0" w:lastRowFirstColumn="0" w:lastRowLastColumn="0"/>
            </w:pPr>
            <w:r w:rsidRPr="0031400B">
              <w:t>The risk will require no activity</w:t>
            </w:r>
            <w:r w:rsidR="00B32CE4">
              <w:t xml:space="preserve"> to resolve</w:t>
            </w:r>
            <w:r w:rsidRPr="0031400B">
              <w:t>.</w:t>
            </w:r>
          </w:p>
        </w:tc>
      </w:tr>
      <w:tr w:rsidR="0037255B" w:rsidRPr="0031400B" w:rsidTr="00C632E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1"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t>1-2</w:t>
            </w:r>
          </w:p>
        </w:tc>
        <w:tc>
          <w:tcPr>
            <w:tcW w:w="1216"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31400B">
              <w:t>Low</w:t>
            </w:r>
          </w:p>
        </w:tc>
        <w:tc>
          <w:tcPr>
            <w:tcW w:w="7402" w:type="dxa"/>
            <w:tcBorders>
              <w:left w:val="none" w:sz="0" w:space="0" w:color="auto"/>
            </w:tcBorders>
            <w:tcMar>
              <w:top w:w="43" w:type="dxa"/>
              <w:left w:w="115" w:type="dxa"/>
              <w:bottom w:w="43" w:type="dxa"/>
              <w:right w:w="115" w:type="dxa"/>
            </w:tcMar>
          </w:tcPr>
          <w:p w:rsidR="0037255B" w:rsidRPr="0031400B" w:rsidRDefault="00B32CE4" w:rsidP="00B32CE4">
            <w:pPr>
              <w:cnfStyle w:val="000000010000" w:firstRow="0" w:lastRow="0" w:firstColumn="0" w:lastColumn="0" w:oddVBand="0" w:evenVBand="0" w:oddHBand="0" w:evenHBand="1" w:firstRowFirstColumn="0" w:firstRowLastColumn="0" w:lastRowFirstColumn="0" w:lastRowLastColumn="0"/>
            </w:pPr>
            <w:r>
              <w:t>To address t</w:t>
            </w:r>
            <w:r w:rsidR="0037255B" w:rsidRPr="0031400B">
              <w:t>he risk will likely require a minimal expenditure of resources (e.g.</w:t>
            </w:r>
            <w:r w:rsidR="008D19D4">
              <w:t>,</w:t>
            </w:r>
            <w:r w:rsidR="0037255B" w:rsidRPr="0031400B">
              <w:t xml:space="preserve"> SMA FTEs, contractor FTEs, </w:t>
            </w:r>
            <w:r w:rsidR="008D19D4">
              <w:t xml:space="preserve">or </w:t>
            </w:r>
            <w:r w:rsidR="0037255B" w:rsidRPr="0031400B">
              <w:t xml:space="preserve">internal/external communications).   </w:t>
            </w:r>
          </w:p>
        </w:tc>
      </w:tr>
      <w:tr w:rsidR="0037255B" w:rsidRPr="0031400B" w:rsidTr="00C632E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1"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t>3-4</w:t>
            </w:r>
          </w:p>
        </w:tc>
        <w:tc>
          <w:tcPr>
            <w:tcW w:w="1216"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100000" w:firstRow="0" w:lastRow="0" w:firstColumn="0" w:lastColumn="0" w:oddVBand="0" w:evenVBand="0" w:oddHBand="1" w:evenHBand="0" w:firstRowFirstColumn="0" w:firstRowLastColumn="0" w:lastRowFirstColumn="0" w:lastRowLastColumn="0"/>
            </w:pPr>
            <w:r w:rsidRPr="0031400B">
              <w:t>Moderate</w:t>
            </w:r>
          </w:p>
        </w:tc>
        <w:tc>
          <w:tcPr>
            <w:tcW w:w="7402" w:type="dxa"/>
            <w:tcBorders>
              <w:left w:val="none" w:sz="0" w:space="0" w:color="auto"/>
            </w:tcBorders>
            <w:tcMar>
              <w:top w:w="43" w:type="dxa"/>
              <w:left w:w="115" w:type="dxa"/>
              <w:bottom w:w="43" w:type="dxa"/>
              <w:right w:w="115" w:type="dxa"/>
            </w:tcMar>
          </w:tcPr>
          <w:p w:rsidR="0037255B" w:rsidRPr="0031400B" w:rsidRDefault="00B32CE4" w:rsidP="00B32CE4">
            <w:pPr>
              <w:cnfStyle w:val="000000100000" w:firstRow="0" w:lastRow="0" w:firstColumn="0" w:lastColumn="0" w:oddVBand="0" w:evenVBand="0" w:oddHBand="1" w:evenHBand="0" w:firstRowFirstColumn="0" w:firstRowLastColumn="0" w:lastRowFirstColumn="0" w:lastRowLastColumn="0"/>
            </w:pPr>
            <w:r>
              <w:t>To address t</w:t>
            </w:r>
            <w:r w:rsidR="0037255B" w:rsidRPr="0031400B">
              <w:t>he risk will likely require some expenditure of resources (e.g.</w:t>
            </w:r>
            <w:r w:rsidR="008D19D4">
              <w:t>,</w:t>
            </w:r>
            <w:r w:rsidR="0037255B" w:rsidRPr="0031400B">
              <w:t xml:space="preserve"> SMA FTEs, contractor FTEs, and internal and external communications).</w:t>
            </w:r>
          </w:p>
        </w:tc>
      </w:tr>
      <w:tr w:rsidR="0037255B" w:rsidRPr="0031400B" w:rsidTr="00C632E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1" w:type="dxa"/>
            <w:tcBorders>
              <w:right w:val="none" w:sz="0" w:space="0" w:color="auto"/>
            </w:tcBorders>
            <w:tcMar>
              <w:top w:w="43" w:type="dxa"/>
              <w:left w:w="115" w:type="dxa"/>
              <w:bottom w:w="43" w:type="dxa"/>
              <w:right w:w="115" w:type="dxa"/>
            </w:tcMar>
          </w:tcPr>
          <w:p w:rsidR="00104EDD" w:rsidRDefault="0037255B">
            <w:pPr>
              <w:jc w:val="center"/>
              <w:rPr>
                <w:b w:val="0"/>
                <w:bCs w:val="0"/>
              </w:rPr>
            </w:pPr>
            <w:r w:rsidRPr="0031400B">
              <w:t>5-6</w:t>
            </w:r>
          </w:p>
        </w:tc>
        <w:tc>
          <w:tcPr>
            <w:tcW w:w="1216" w:type="dxa"/>
            <w:tcBorders>
              <w:left w:val="none" w:sz="0" w:space="0" w:color="auto"/>
              <w:right w:val="none" w:sz="0" w:space="0" w:color="auto"/>
            </w:tcBorders>
            <w:tcMar>
              <w:top w:w="43" w:type="dxa"/>
              <w:left w:w="115" w:type="dxa"/>
              <w:bottom w:w="43" w:type="dxa"/>
              <w:right w:w="115" w:type="dxa"/>
            </w:tcMar>
          </w:tcPr>
          <w:p w:rsidR="00104EDD" w:rsidRDefault="0037255B">
            <w:pPr>
              <w:jc w:val="center"/>
              <w:cnfStyle w:val="000000010000" w:firstRow="0" w:lastRow="0" w:firstColumn="0" w:lastColumn="0" w:oddVBand="0" w:evenVBand="0" w:oddHBand="0" w:evenHBand="1" w:firstRowFirstColumn="0" w:firstRowLastColumn="0" w:lastRowFirstColumn="0" w:lastRowLastColumn="0"/>
            </w:pPr>
            <w:r w:rsidRPr="0031400B">
              <w:t>High</w:t>
            </w:r>
          </w:p>
        </w:tc>
        <w:tc>
          <w:tcPr>
            <w:tcW w:w="7402" w:type="dxa"/>
            <w:tcBorders>
              <w:left w:val="none" w:sz="0" w:space="0" w:color="auto"/>
            </w:tcBorders>
            <w:tcMar>
              <w:top w:w="43" w:type="dxa"/>
              <w:left w:w="115" w:type="dxa"/>
              <w:bottom w:w="43" w:type="dxa"/>
              <w:right w:w="115" w:type="dxa"/>
            </w:tcMar>
          </w:tcPr>
          <w:p w:rsidR="0037255B" w:rsidRPr="0031400B" w:rsidRDefault="00B32CE4" w:rsidP="00B32CE4">
            <w:pPr>
              <w:cnfStyle w:val="000000010000" w:firstRow="0" w:lastRow="0" w:firstColumn="0" w:lastColumn="0" w:oddVBand="0" w:evenVBand="0" w:oddHBand="0" w:evenHBand="1" w:firstRowFirstColumn="0" w:firstRowLastColumn="0" w:lastRowFirstColumn="0" w:lastRowLastColumn="0"/>
            </w:pPr>
            <w:r>
              <w:t>To address t</w:t>
            </w:r>
            <w:r w:rsidR="0037255B" w:rsidRPr="0031400B">
              <w:t>he risk will likely require a significant expenditure of resources (e.g.</w:t>
            </w:r>
            <w:r w:rsidR="008D19D4">
              <w:t>,</w:t>
            </w:r>
            <w:r w:rsidR="0037255B" w:rsidRPr="0031400B">
              <w:t xml:space="preserve"> SMA FTEs, contractor FTEs, and internal and external communications).</w:t>
            </w:r>
          </w:p>
        </w:tc>
      </w:tr>
    </w:tbl>
    <w:p w:rsidR="0037255B" w:rsidRPr="0031400B" w:rsidRDefault="0037255B" w:rsidP="0031400B">
      <w:pPr>
        <w:pStyle w:val="Heading1"/>
        <w:numPr>
          <w:ilvl w:val="1"/>
          <w:numId w:val="1"/>
        </w:numPr>
        <w:ind w:left="720" w:hanging="720"/>
      </w:pPr>
      <w:bookmarkStart w:id="59" w:name="_Toc228352819"/>
      <w:bookmarkStart w:id="60" w:name="_Toc230686530"/>
      <w:bookmarkStart w:id="61" w:name="_Toc278536809"/>
      <w:r w:rsidRPr="0031400B">
        <w:t>Impact Scor</w:t>
      </w:r>
      <w:bookmarkEnd w:id="59"/>
      <w:bookmarkEnd w:id="60"/>
      <w:r w:rsidR="00D8631B">
        <w:t>e</w:t>
      </w:r>
      <w:bookmarkEnd w:id="61"/>
    </w:p>
    <w:p w:rsidR="0037255B" w:rsidRDefault="0037255B" w:rsidP="0037255B">
      <w:r w:rsidRPr="00AF0838">
        <w:t xml:space="preserve">The Impact Score </w:t>
      </w:r>
      <w:r>
        <w:t xml:space="preserve">is </w:t>
      </w:r>
      <w:r w:rsidRPr="00AF0838">
        <w:t xml:space="preserve">for a specific threat that ICD-10 presents to a particular </w:t>
      </w:r>
      <w:r>
        <w:t>MITA business</w:t>
      </w:r>
      <w:r w:rsidRPr="00AF0838">
        <w:t xml:space="preserve"> area.  The Impact Score is equal to the sum of the Risk Score and the Work Effort Score.</w:t>
      </w:r>
    </w:p>
    <w:p w:rsidR="0037255B" w:rsidRDefault="0037255B" w:rsidP="0037255B"/>
    <w:p w:rsidR="0037255B" w:rsidRDefault="0037255B" w:rsidP="0031400B">
      <w:pPr>
        <w:jc w:val="center"/>
        <w:rPr>
          <w:b/>
        </w:rPr>
      </w:pPr>
      <w:bookmarkStart w:id="62" w:name="_Toc228352820"/>
      <w:bookmarkStart w:id="63" w:name="_Toc228630425"/>
      <w:r w:rsidRPr="0031400B">
        <w:rPr>
          <w:b/>
        </w:rPr>
        <w:t>Impact Score = Risk Score</w:t>
      </w:r>
      <w:r w:rsidRPr="0031400B">
        <w:rPr>
          <w:rStyle w:val="FootnoteReference"/>
          <w:b/>
        </w:rPr>
        <w:footnoteReference w:id="5"/>
      </w:r>
      <w:r w:rsidRPr="0031400B">
        <w:rPr>
          <w:b/>
        </w:rPr>
        <w:t xml:space="preserve"> + Work Effort Score</w:t>
      </w:r>
      <w:r w:rsidRPr="0031400B">
        <w:rPr>
          <w:rStyle w:val="FootnoteReference"/>
          <w:b/>
        </w:rPr>
        <w:footnoteReference w:id="6"/>
      </w:r>
      <w:bookmarkEnd w:id="62"/>
      <w:bookmarkEnd w:id="63"/>
    </w:p>
    <w:p w:rsidR="0031400B" w:rsidRDefault="0031400B" w:rsidP="0031400B">
      <w:pPr>
        <w:jc w:val="center"/>
        <w:rPr>
          <w:b/>
        </w:rPr>
      </w:pPr>
    </w:p>
    <w:p w:rsidR="008D19D4" w:rsidRPr="0031400B" w:rsidRDefault="008D19D4" w:rsidP="0031400B">
      <w:pPr>
        <w:jc w:val="center"/>
        <w:rPr>
          <w:b/>
        </w:rPr>
      </w:pPr>
    </w:p>
    <w:p w:rsidR="0037255B" w:rsidRDefault="0037255B" w:rsidP="0037255B">
      <w:r>
        <w:t xml:space="preserve">The Impact Score results in one of the following </w:t>
      </w:r>
      <w:r w:rsidR="00D8631B">
        <w:t>impact levels</w:t>
      </w:r>
      <w:r>
        <w:t xml:space="preserve">: low (1 to 5); moderate (6 to 12); </w:t>
      </w:r>
      <w:r w:rsidR="008D19D4">
        <w:t xml:space="preserve">or </w:t>
      </w:r>
      <w:r>
        <w:t>high (13 to 36) for each risk that requires mitigation (</w:t>
      </w:r>
      <w:r w:rsidR="005269DC">
        <w:fldChar w:fldCharType="begin"/>
      </w:r>
      <w:r w:rsidR="005269DC">
        <w:instrText xml:space="preserve"> REF _Ref277244693 \h  \* MERGEFORM</w:instrText>
      </w:r>
      <w:r w:rsidR="005269DC">
        <w:instrText xml:space="preserve">AT </w:instrText>
      </w:r>
      <w:r w:rsidR="005269DC">
        <w:fldChar w:fldCharType="separate"/>
      </w:r>
      <w:r w:rsidR="00C632E2">
        <w:t>Table 6</w:t>
      </w:r>
      <w:r w:rsidR="005269DC">
        <w:fldChar w:fldCharType="end"/>
      </w:r>
      <w:r>
        <w:t>).</w:t>
      </w:r>
    </w:p>
    <w:p w:rsidR="008D19D4" w:rsidRDefault="008D19D4" w:rsidP="0037255B"/>
    <w:p w:rsidR="0037255B" w:rsidRPr="00E35197" w:rsidRDefault="0037255B" w:rsidP="00A77414">
      <w:pPr>
        <w:pStyle w:val="Caption"/>
      </w:pPr>
      <w:bookmarkStart w:id="64" w:name="_Ref277244693"/>
      <w:bookmarkStart w:id="65" w:name="_Toc228352821"/>
      <w:bookmarkStart w:id="66" w:name="_Toc228630426"/>
      <w:bookmarkStart w:id="67" w:name="_Toc229329868"/>
      <w:bookmarkStart w:id="68" w:name="_Toc244524621"/>
      <w:bookmarkStart w:id="69" w:name="_Toc278536780"/>
      <w:r>
        <w:t xml:space="preserve">Table </w:t>
      </w:r>
      <w:r w:rsidR="005269DC">
        <w:fldChar w:fldCharType="begin"/>
      </w:r>
      <w:r w:rsidR="005269DC">
        <w:instrText xml:space="preserve"> SEQ Table \* ARABIC </w:instrText>
      </w:r>
      <w:r w:rsidR="005269DC">
        <w:fldChar w:fldCharType="separate"/>
      </w:r>
      <w:r w:rsidR="00C632E2">
        <w:rPr>
          <w:noProof/>
        </w:rPr>
        <w:t>6</w:t>
      </w:r>
      <w:r w:rsidR="005269DC">
        <w:rPr>
          <w:noProof/>
        </w:rPr>
        <w:fldChar w:fldCharType="end"/>
      </w:r>
      <w:bookmarkEnd w:id="64"/>
      <w:r>
        <w:t>: Impact Classification per Risk</w:t>
      </w:r>
      <w:bookmarkEnd w:id="65"/>
      <w:bookmarkEnd w:id="66"/>
      <w:bookmarkEnd w:id="67"/>
      <w:bookmarkEnd w:id="68"/>
      <w:bookmarkEnd w:id="69"/>
    </w:p>
    <w:tbl>
      <w:tblPr>
        <w:tblStyle w:val="MediumShading1-Accent11"/>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Impact Classification per Risk"/>
        <w:tblDescription w:val="Provides an imact level and description for impact score ranges."/>
      </w:tblPr>
      <w:tblGrid>
        <w:gridCol w:w="2416"/>
        <w:gridCol w:w="1690"/>
        <w:gridCol w:w="5310"/>
      </w:tblGrid>
      <w:tr w:rsidR="0037255B" w:rsidRPr="00D8631B" w:rsidTr="008D19D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16"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D913F4">
            <w:pPr>
              <w:pStyle w:val="BodyText"/>
              <w:jc w:val="center"/>
              <w:rPr>
                <w:rFonts w:ascii="Times New Roman" w:hAnsi="Times New Roman"/>
                <w:b w:val="0"/>
                <w:bCs w:val="0"/>
                <w:color w:val="auto"/>
                <w:sz w:val="24"/>
                <w:szCs w:val="24"/>
              </w:rPr>
            </w:pPr>
            <w:bookmarkStart w:id="70" w:name="_GoBack" w:colFirst="0" w:colLast="3"/>
            <w:r w:rsidRPr="00D913F4">
              <w:rPr>
                <w:rFonts w:ascii="Times New Roman" w:hAnsi="Times New Roman"/>
                <w:sz w:val="24"/>
                <w:szCs w:val="24"/>
              </w:rPr>
              <w:t>Impact Score Range</w:t>
            </w:r>
          </w:p>
        </w:tc>
        <w:tc>
          <w:tcPr>
            <w:tcW w:w="169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D913F4">
            <w:pPr>
              <w:pStyle w:val="Body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auto"/>
                <w:sz w:val="24"/>
                <w:szCs w:val="24"/>
              </w:rPr>
            </w:pPr>
            <w:r w:rsidRPr="00D913F4">
              <w:rPr>
                <w:rFonts w:ascii="Times New Roman" w:hAnsi="Times New Roman"/>
                <w:sz w:val="24"/>
                <w:szCs w:val="24"/>
              </w:rPr>
              <w:t>Impact Level</w:t>
            </w:r>
          </w:p>
        </w:tc>
        <w:tc>
          <w:tcPr>
            <w:tcW w:w="5310" w:type="dxa"/>
            <w:tcBorders>
              <w:top w:val="none" w:sz="0" w:space="0" w:color="auto"/>
              <w:left w:val="none" w:sz="0" w:space="0" w:color="auto"/>
              <w:bottom w:val="none" w:sz="0" w:space="0" w:color="auto"/>
              <w:right w:val="none" w:sz="0" w:space="0" w:color="auto"/>
            </w:tcBorders>
            <w:tcMar>
              <w:top w:w="43" w:type="dxa"/>
              <w:left w:w="115" w:type="dxa"/>
              <w:bottom w:w="43" w:type="dxa"/>
              <w:right w:w="115" w:type="dxa"/>
            </w:tcMar>
          </w:tcPr>
          <w:p w:rsidR="00104EDD" w:rsidRDefault="00D913F4">
            <w:pPr>
              <w:pStyle w:val="Body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auto"/>
                <w:sz w:val="24"/>
                <w:szCs w:val="24"/>
              </w:rPr>
            </w:pPr>
            <w:r w:rsidRPr="00D913F4">
              <w:rPr>
                <w:rFonts w:ascii="Times New Roman" w:hAnsi="Times New Roman"/>
                <w:sz w:val="24"/>
                <w:szCs w:val="24"/>
              </w:rPr>
              <w:t>Description</w:t>
            </w:r>
          </w:p>
        </w:tc>
      </w:tr>
      <w:tr w:rsidR="0037255B" w:rsidRPr="0031400B" w:rsidTr="008D19D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6" w:type="dxa"/>
            <w:tcBorders>
              <w:right w:val="none" w:sz="0" w:space="0" w:color="auto"/>
            </w:tcBorders>
            <w:tcMar>
              <w:top w:w="43" w:type="dxa"/>
              <w:left w:w="115" w:type="dxa"/>
              <w:bottom w:w="43" w:type="dxa"/>
              <w:right w:w="115" w:type="dxa"/>
            </w:tcMar>
          </w:tcPr>
          <w:p w:rsidR="00104EDD" w:rsidRDefault="0037255B">
            <w:pPr>
              <w:pStyle w:val="BodyText"/>
              <w:jc w:val="center"/>
              <w:rPr>
                <w:rFonts w:ascii="Times New Roman" w:hAnsi="Times New Roman"/>
                <w:b w:val="0"/>
                <w:bCs w:val="0"/>
                <w:sz w:val="24"/>
                <w:szCs w:val="24"/>
              </w:rPr>
            </w:pPr>
            <w:r w:rsidRPr="0031400B">
              <w:rPr>
                <w:rFonts w:ascii="Times New Roman" w:hAnsi="Times New Roman"/>
                <w:sz w:val="24"/>
                <w:szCs w:val="24"/>
              </w:rPr>
              <w:t>1-5</w:t>
            </w:r>
          </w:p>
        </w:tc>
        <w:tc>
          <w:tcPr>
            <w:tcW w:w="1690" w:type="dxa"/>
            <w:tcBorders>
              <w:left w:val="none" w:sz="0" w:space="0" w:color="auto"/>
              <w:right w:val="none" w:sz="0" w:space="0" w:color="auto"/>
            </w:tcBorders>
            <w:tcMar>
              <w:top w:w="43" w:type="dxa"/>
              <w:left w:w="115" w:type="dxa"/>
              <w:bottom w:w="43" w:type="dxa"/>
              <w:right w:w="115" w:type="dxa"/>
            </w:tcMar>
          </w:tcPr>
          <w:p w:rsidR="00104EDD" w:rsidRDefault="0037255B">
            <w:pPr>
              <w:pStyle w:val="BodyT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31400B">
              <w:rPr>
                <w:rFonts w:ascii="Times New Roman" w:hAnsi="Times New Roman"/>
                <w:sz w:val="24"/>
                <w:szCs w:val="24"/>
              </w:rPr>
              <w:t>Low</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cnfStyle w:val="000000100000" w:firstRow="0" w:lastRow="0" w:firstColumn="0" w:lastColumn="0" w:oddVBand="0" w:evenVBand="0" w:oddHBand="1" w:evenHBand="0" w:firstRowFirstColumn="0" w:firstRowLastColumn="0" w:lastRowFirstColumn="0" w:lastRowLastColumn="0"/>
            </w:pPr>
            <w:r w:rsidRPr="0031400B">
              <w:t>The function will be minimally affected if the risk occurs.  If the risk occurs, the functional area will be able to implement workarounds to prevent the risk from affecting business outcomes.  The workarounds will have no or minimal incremental costs.</w:t>
            </w:r>
          </w:p>
        </w:tc>
      </w:tr>
      <w:tr w:rsidR="0037255B" w:rsidRPr="0031400B" w:rsidTr="008D19D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6" w:type="dxa"/>
            <w:tcBorders>
              <w:right w:val="none" w:sz="0" w:space="0" w:color="auto"/>
            </w:tcBorders>
            <w:tcMar>
              <w:top w:w="43" w:type="dxa"/>
              <w:left w:w="115" w:type="dxa"/>
              <w:bottom w:w="43" w:type="dxa"/>
              <w:right w:w="115" w:type="dxa"/>
            </w:tcMar>
          </w:tcPr>
          <w:p w:rsidR="00104EDD" w:rsidRDefault="0037255B">
            <w:pPr>
              <w:pStyle w:val="BodyText"/>
              <w:jc w:val="center"/>
              <w:rPr>
                <w:rFonts w:ascii="Times New Roman" w:hAnsi="Times New Roman"/>
                <w:b w:val="0"/>
                <w:bCs w:val="0"/>
                <w:sz w:val="24"/>
                <w:szCs w:val="24"/>
              </w:rPr>
            </w:pPr>
            <w:r w:rsidRPr="0031400B">
              <w:rPr>
                <w:rFonts w:ascii="Times New Roman" w:hAnsi="Times New Roman"/>
                <w:sz w:val="24"/>
                <w:szCs w:val="24"/>
              </w:rPr>
              <w:t>6-12</w:t>
            </w:r>
          </w:p>
        </w:tc>
        <w:tc>
          <w:tcPr>
            <w:tcW w:w="1690" w:type="dxa"/>
            <w:tcBorders>
              <w:left w:val="none" w:sz="0" w:space="0" w:color="auto"/>
              <w:right w:val="none" w:sz="0" w:space="0" w:color="auto"/>
            </w:tcBorders>
            <w:tcMar>
              <w:top w:w="43" w:type="dxa"/>
              <w:left w:w="115" w:type="dxa"/>
              <w:bottom w:w="43" w:type="dxa"/>
              <w:right w:w="115" w:type="dxa"/>
            </w:tcMar>
          </w:tcPr>
          <w:p w:rsidR="00104EDD" w:rsidRDefault="0037255B">
            <w:pPr>
              <w:pStyle w:val="BodyText"/>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31400B">
              <w:rPr>
                <w:rFonts w:ascii="Times New Roman" w:hAnsi="Times New Roman"/>
                <w:sz w:val="24"/>
                <w:szCs w:val="24"/>
              </w:rPr>
              <w:t>Moderate</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pStyle w:val="BodyText"/>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szCs w:val="24"/>
              </w:rPr>
            </w:pPr>
            <w:r w:rsidRPr="0031400B">
              <w:rPr>
                <w:rFonts w:ascii="Times New Roman" w:hAnsi="Times New Roman"/>
                <w:sz w:val="24"/>
                <w:szCs w:val="24"/>
              </w:rPr>
              <w:t>The function will be somewhat affected if the risks occurs.  If the risk occurs, the functional area will have more difficulty preventing the risk from affecting business outcomes.  The required corrections and workarounds will incur some incremental costs for the functional area.</w:t>
            </w:r>
          </w:p>
        </w:tc>
      </w:tr>
      <w:tr w:rsidR="0037255B" w:rsidRPr="0031400B" w:rsidTr="008D19D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6" w:type="dxa"/>
            <w:tcBorders>
              <w:right w:val="none" w:sz="0" w:space="0" w:color="auto"/>
            </w:tcBorders>
            <w:tcMar>
              <w:top w:w="43" w:type="dxa"/>
              <w:left w:w="115" w:type="dxa"/>
              <w:bottom w:w="43" w:type="dxa"/>
              <w:right w:w="115" w:type="dxa"/>
            </w:tcMar>
          </w:tcPr>
          <w:p w:rsidR="00104EDD" w:rsidRDefault="0037255B">
            <w:pPr>
              <w:pStyle w:val="BodyText"/>
              <w:jc w:val="center"/>
              <w:rPr>
                <w:rFonts w:ascii="Times New Roman" w:hAnsi="Times New Roman"/>
                <w:b w:val="0"/>
                <w:bCs w:val="0"/>
                <w:sz w:val="24"/>
                <w:szCs w:val="24"/>
              </w:rPr>
            </w:pPr>
            <w:r w:rsidRPr="0031400B">
              <w:rPr>
                <w:rFonts w:ascii="Times New Roman" w:hAnsi="Times New Roman"/>
                <w:sz w:val="24"/>
                <w:szCs w:val="24"/>
              </w:rPr>
              <w:t>13-36</w:t>
            </w:r>
          </w:p>
        </w:tc>
        <w:tc>
          <w:tcPr>
            <w:tcW w:w="1690" w:type="dxa"/>
            <w:tcBorders>
              <w:left w:val="none" w:sz="0" w:space="0" w:color="auto"/>
              <w:right w:val="none" w:sz="0" w:space="0" w:color="auto"/>
            </w:tcBorders>
            <w:tcMar>
              <w:top w:w="43" w:type="dxa"/>
              <w:left w:w="115" w:type="dxa"/>
              <w:bottom w:w="43" w:type="dxa"/>
              <w:right w:w="115" w:type="dxa"/>
            </w:tcMar>
          </w:tcPr>
          <w:p w:rsidR="00104EDD" w:rsidRDefault="0037255B">
            <w:pPr>
              <w:pStyle w:val="BodyT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31400B">
              <w:rPr>
                <w:rFonts w:ascii="Times New Roman" w:hAnsi="Times New Roman"/>
                <w:sz w:val="24"/>
                <w:szCs w:val="24"/>
              </w:rPr>
              <w:t>High</w:t>
            </w:r>
          </w:p>
        </w:tc>
        <w:tc>
          <w:tcPr>
            <w:tcW w:w="5310" w:type="dxa"/>
            <w:tcBorders>
              <w:left w:val="none" w:sz="0" w:space="0" w:color="auto"/>
            </w:tcBorders>
            <w:tcMar>
              <w:top w:w="43" w:type="dxa"/>
              <w:left w:w="115" w:type="dxa"/>
              <w:bottom w:w="43" w:type="dxa"/>
              <w:right w:w="115" w:type="dxa"/>
            </w:tcMar>
          </w:tcPr>
          <w:p w:rsidR="0037255B" w:rsidRPr="0031400B" w:rsidRDefault="0037255B" w:rsidP="00006CA8">
            <w:pPr>
              <w:cnfStyle w:val="000000100000" w:firstRow="0" w:lastRow="0" w:firstColumn="0" w:lastColumn="0" w:oddVBand="0" w:evenVBand="0" w:oddHBand="1" w:evenHBand="0" w:firstRowFirstColumn="0" w:firstRowLastColumn="0" w:lastRowFirstColumn="0" w:lastRowLastColumn="0"/>
            </w:pPr>
            <w:r w:rsidRPr="0031400B">
              <w:t>The function will be significantly affected if the risk occurs.  If the risk occurs, the functional area will not be able to prevent the risk from affecting business outcomes.  The required corrections and workarounds will require substantial incremental costs for the functional area and/or</w:t>
            </w:r>
            <w:r w:rsidR="002A658E">
              <w:t xml:space="preserve"> workarounds</w:t>
            </w:r>
            <w:r w:rsidRPr="0031400B">
              <w:t xml:space="preserve"> do not exist to mitigate the risks.</w:t>
            </w:r>
          </w:p>
        </w:tc>
      </w:tr>
      <w:bookmarkEnd w:id="70"/>
    </w:tbl>
    <w:p w:rsidR="0037255B" w:rsidRPr="00AB4791" w:rsidRDefault="0037255B" w:rsidP="0037255B">
      <w:pPr>
        <w:rPr>
          <w:kern w:val="32"/>
        </w:rPr>
      </w:pPr>
    </w:p>
    <w:p w:rsidR="0037255B" w:rsidRPr="00D73DA4" w:rsidRDefault="0037255B" w:rsidP="00FD530D">
      <w:pPr>
        <w:pStyle w:val="Heading1"/>
        <w:numPr>
          <w:ilvl w:val="1"/>
          <w:numId w:val="1"/>
        </w:numPr>
        <w:ind w:left="720" w:hanging="720"/>
      </w:pPr>
      <w:bookmarkStart w:id="71" w:name="_Toc230579758"/>
      <w:bookmarkStart w:id="72" w:name="_Toc230686531"/>
      <w:bookmarkStart w:id="73" w:name="_Toc230829770"/>
      <w:bookmarkStart w:id="74" w:name="_Toc230829897"/>
      <w:bookmarkStart w:id="75" w:name="_Toc230830151"/>
      <w:bookmarkStart w:id="76" w:name="_Toc230830952"/>
      <w:bookmarkStart w:id="77" w:name="_Toc278536810"/>
      <w:r>
        <w:t>MITA Business Area</w:t>
      </w:r>
      <w:r w:rsidRPr="00D73DA4">
        <w:t xml:space="preserve"> </w:t>
      </w:r>
      <w:r>
        <w:t xml:space="preserve">Impact </w:t>
      </w:r>
      <w:r w:rsidRPr="00D73DA4">
        <w:t>Score Calculation</w:t>
      </w:r>
      <w:bookmarkEnd w:id="71"/>
      <w:bookmarkEnd w:id="72"/>
      <w:bookmarkEnd w:id="73"/>
      <w:bookmarkEnd w:id="74"/>
      <w:bookmarkEnd w:id="75"/>
      <w:bookmarkEnd w:id="76"/>
      <w:bookmarkEnd w:id="77"/>
    </w:p>
    <w:p w:rsidR="0037255B" w:rsidRDefault="0037255B" w:rsidP="0037255B">
      <w:bookmarkStart w:id="78" w:name="_Toc225325497"/>
      <w:r>
        <w:t>The combined Impact Scores for all the risks managed in a functional area yield the MITA Business Area Impact Score (MBAIS) for the business function.</w:t>
      </w:r>
      <w:bookmarkEnd w:id="78"/>
      <w:r>
        <w:t xml:space="preserve">  </w:t>
      </w:r>
    </w:p>
    <w:p w:rsidR="0037255B" w:rsidRDefault="0037255B" w:rsidP="0037255B"/>
    <w:p w:rsidR="00104EDD" w:rsidRDefault="009A4B72">
      <w:pPr>
        <w:ind w:left="720"/>
        <w:rPr>
          <w:b/>
        </w:rPr>
      </w:pPr>
      <w:bookmarkStart w:id="79" w:name="_Toc225325498"/>
      <w:bookmarkStart w:id="80" w:name="_Toc228352823"/>
      <w:bookmarkStart w:id="81" w:name="_Toc228630427"/>
      <w:r w:rsidRPr="009A4B72">
        <w:rPr>
          <w:b/>
        </w:rPr>
        <w:t xml:space="preserve">MITA Business Area Score = </w:t>
      </w:r>
      <w:r w:rsidRPr="009A4B72">
        <w:rPr>
          <w:rFonts w:ascii="Arial" w:hAnsi="Arial" w:cs="Arial"/>
          <w:b/>
        </w:rPr>
        <w:t>Σ</w:t>
      </w:r>
      <w:r w:rsidRPr="009A4B72">
        <w:rPr>
          <w:b/>
        </w:rPr>
        <w:t xml:space="preserve"> All Impact Scores</w:t>
      </w:r>
      <w:bookmarkEnd w:id="79"/>
      <w:bookmarkEnd w:id="80"/>
      <w:bookmarkEnd w:id="81"/>
    </w:p>
    <w:p w:rsidR="0037255B" w:rsidRDefault="0037255B" w:rsidP="0037255B"/>
    <w:p w:rsidR="0037255B" w:rsidRDefault="0037255B" w:rsidP="0037255B">
      <w:bookmarkStart w:id="82" w:name="_Toc225325499"/>
      <w:r>
        <w:t>For example, the Operations Management MBAIS would equal the sum of the Impact Scores for all risks associated with Operations Management.</w:t>
      </w:r>
      <w:bookmarkEnd w:id="82"/>
    </w:p>
    <w:p w:rsidR="0037255B" w:rsidRDefault="0037255B" w:rsidP="0037255B"/>
    <w:p w:rsidR="00E1380F" w:rsidRDefault="009A4B72">
      <w:pPr>
        <w:jc w:val="center"/>
        <w:rPr>
          <w:b/>
        </w:rPr>
      </w:pPr>
      <w:bookmarkStart w:id="83" w:name="_Toc225325500"/>
      <w:bookmarkStart w:id="84" w:name="_Toc228352824"/>
      <w:bookmarkStart w:id="85" w:name="_Toc228630428"/>
      <w:r w:rsidRPr="009A4B72">
        <w:rPr>
          <w:b/>
        </w:rPr>
        <w:t xml:space="preserve">Operations Management MBAIS = </w:t>
      </w:r>
      <w:r w:rsidRPr="009A4B72">
        <w:rPr>
          <w:rFonts w:ascii="Arial" w:hAnsi="Arial" w:cs="Arial"/>
          <w:b/>
        </w:rPr>
        <w:t>Σ</w:t>
      </w:r>
      <w:r w:rsidRPr="009A4B72">
        <w:rPr>
          <w:b/>
        </w:rPr>
        <w:t xml:space="preserve"> All Impact Scores in </w:t>
      </w:r>
      <w:bookmarkEnd w:id="83"/>
      <w:bookmarkEnd w:id="84"/>
      <w:bookmarkEnd w:id="85"/>
      <w:r w:rsidRPr="009A4B72">
        <w:rPr>
          <w:b/>
        </w:rPr>
        <w:t>Operations Management</w:t>
      </w:r>
    </w:p>
    <w:sectPr w:rsidR="00E1380F" w:rsidSect="00006CA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9DC" w:rsidRDefault="005269DC" w:rsidP="0037255B">
      <w:r>
        <w:separator/>
      </w:r>
    </w:p>
  </w:endnote>
  <w:endnote w:type="continuationSeparator" w:id="0">
    <w:p w:rsidR="005269DC" w:rsidRDefault="005269DC" w:rsidP="0037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A27" w:rsidRDefault="00A06144" w:rsidP="00006CA8">
    <w:r>
      <w:rPr>
        <w:noProof/>
      </w:rPr>
      <mc:AlternateContent>
        <mc:Choice Requires="wps">
          <w:drawing>
            <wp:anchor distT="0" distB="0" distL="114300" distR="114300" simplePos="0" relativeHeight="251660288"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1" name="Line 1"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alt="Title: Line"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8J4FwIAADUEAAAOAAAAZHJzL2Uyb0RvYy54bWysU8GO2jAQvVfqP1i+QxIKLESEVZVAL7RF&#10;2u0HGNshVh3bsg0BVf33jk2C2PZSVeVgZjIzz2/mjVfPl1aiM7dOaFXgbJxixBXVTKhjgb+9bkcL&#10;jJwnihGpFS/wlTv8vH7/btWZnE90oyXjFgGIcnlnCtx4b/IkcbThLXFjbbiCYK1tSzy49pgwSzpA&#10;b2UySdN50mnLjNWUOwdfq1sQryN+XXPqv9a14x7JAgM3H08bz0M4k/WK5EdLTCNoT4P8A4uWCAWX&#10;3qEq4gk6WfEHVCuo1U7Xfkx1m+i6FpTHHqCbLP2tm5eGGB57geE4cx+T+3+w9Mt5b5FgoB1GirQg&#10;0U4ojsDzwsveDWPqjMshu1R7GxqlF/Vidpp+d0jpsiHqyCPd16uBoixUJG9KguMMXHboPmsGOeTk&#10;dZzZpbZtgIRpoEuU5nqXhl88ovBxnk2enmagIB1iCcmHQmOd/8R1i4JRYAkNRGBy3jkfiJB8SAn3&#10;KL0VUkblpUJdgZezySwWOC0FC8GQ5uzxUEqLziTsTvzFriDymGb1SbEI1nDCNr3tiZA3Gy6XKuBB&#10;K0Cnt27L8WOZLjeLzWI6mk7mm9E0rarRx205Hc232dOs+lCVZZX9DNSyad4IxrgK7IZFzaZ/twj9&#10;k7mt2H1V72NI3qLHeQHZ4T+SjloG+W6LcNDsureDxrCbMbl/R2H5H32wH1/7+hcAAAD//wMAUEsD&#10;BBQABgAIAAAAIQD8fH2h2gAAAAcBAAAPAAAAZHJzL2Rvd25yZXYueG1sTI7LTsMwEEX3SPyDNUhs&#10;KmoTKI8Qp0JAdmwoILbTeEgi4nEau23g6xnEApb3oXtPsZx8r3Y0xi6whdO5AUVcB9dxY+HluTq5&#10;AhUTssM+MFn4pAjL8vCgwNyFPT/RbpUaJSMcc7TQpjTkWse6JY9xHgZiyd7D6DGJHBvtRtzLuO91&#10;ZsyF9tixPLQ40F1L9cdq6y3E6pU21desnpm3syZQtrl/fEBrj4+m2xtQiab0V4YffEGHUpjWYcsu&#10;qt7CQsCThWxxDkri60sjxvrX0GWh//OX3wAAAP//AwBQSwECLQAUAAYACAAAACEAtoM4kv4AAADh&#10;AQAAEwAAAAAAAAAAAAAAAAAAAAAAW0NvbnRlbnRfVHlwZXNdLnhtbFBLAQItABQABgAIAAAAIQA4&#10;/SH/1gAAAJQBAAALAAAAAAAAAAAAAAAAAC8BAABfcmVscy8ucmVsc1BLAQItABQABgAIAAAAIQBy&#10;i8J4FwIAADUEAAAOAAAAAAAAAAAAAAAAAC4CAABkcnMvZTJvRG9jLnhtbFBLAQItABQABgAIAAAA&#10;IQD8fH2h2gAAAAcBAAAPAAAAAAAAAAAAAAAAAHEEAABkcnMvZG93bnJldi54bWxQSwUGAAAAAAQA&#10;BADzAAAAeAUAAAAA&#10;">
              <w10:wrap type="square"/>
            </v:line>
          </w:pict>
        </mc:Fallback>
      </mc:AlternateContent>
    </w:r>
  </w:p>
  <w:tbl>
    <w:tblPr>
      <w:tblW w:w="9450" w:type="dxa"/>
      <w:tblInd w:w="108" w:type="dxa"/>
      <w:tblLook w:val="00BF" w:firstRow="1" w:lastRow="0" w:firstColumn="1" w:lastColumn="0" w:noHBand="0" w:noVBand="0"/>
    </w:tblPr>
    <w:tblGrid>
      <w:gridCol w:w="3870"/>
      <w:gridCol w:w="3420"/>
      <w:gridCol w:w="2160"/>
    </w:tblGrid>
    <w:tr w:rsidR="00956A27" w:rsidRPr="00770C27" w:rsidTr="00006CA8">
      <w:trPr>
        <w:trHeight w:val="525"/>
      </w:trPr>
      <w:tc>
        <w:tcPr>
          <w:tcW w:w="3870" w:type="dxa"/>
        </w:tcPr>
        <w:p w:rsidR="00956A27" w:rsidRPr="00770C27" w:rsidRDefault="00956A27" w:rsidP="00006CA8">
          <w:pPr>
            <w:pStyle w:val="Footer"/>
          </w:pPr>
        </w:p>
        <w:p w:rsidR="00956A27" w:rsidRPr="00770C27" w:rsidRDefault="005269DC" w:rsidP="00006CA8">
          <w:pPr>
            <w:pStyle w:val="Footer"/>
            <w:rPr>
              <w:color w:val="000000"/>
            </w:rPr>
          </w:pPr>
          <w:r>
            <w:fldChar w:fldCharType="begin"/>
          </w:r>
          <w:r>
            <w:instrText xml:space="preserve"> FILENAME   \* MERGEFORMAT </w:instrText>
          </w:r>
          <w:r>
            <w:fldChar w:fldCharType="separate"/>
          </w:r>
          <w:r w:rsidR="00956A27" w:rsidRPr="00770C27">
            <w:rPr>
              <w:noProof/>
              <w:color w:val="000000"/>
            </w:rPr>
            <w:t>ImpactScoringTemplate</w:t>
          </w:r>
          <w:r w:rsidR="00956A27" w:rsidRPr="00770C27">
            <w:rPr>
              <w:noProof/>
            </w:rPr>
            <w:t>.docx</w:t>
          </w:r>
          <w:r>
            <w:rPr>
              <w:noProof/>
            </w:rPr>
            <w:fldChar w:fldCharType="end"/>
          </w:r>
        </w:p>
      </w:tc>
      <w:tc>
        <w:tcPr>
          <w:tcW w:w="3420" w:type="dxa"/>
        </w:tcPr>
        <w:p w:rsidR="00956A27" w:rsidRPr="00770C27" w:rsidRDefault="00956A27" w:rsidP="00006CA8">
          <w:pPr>
            <w:pStyle w:val="Footer"/>
          </w:pPr>
        </w:p>
        <w:p w:rsidR="00956A27" w:rsidRPr="00770C27" w:rsidRDefault="00956A27" w:rsidP="00006CA8">
          <w:pPr>
            <w:pStyle w:val="Footer"/>
          </w:pPr>
          <w:r w:rsidRPr="00770C27">
            <w:t xml:space="preserve">Page </w:t>
          </w:r>
          <w:r w:rsidR="005269DC">
            <w:fldChar w:fldCharType="begin"/>
          </w:r>
          <w:r w:rsidR="005269DC">
            <w:instrText xml:space="preserve"> PAGE </w:instrText>
          </w:r>
          <w:r w:rsidR="005269DC">
            <w:fldChar w:fldCharType="separate"/>
          </w:r>
          <w:r w:rsidR="006A187D">
            <w:rPr>
              <w:noProof/>
            </w:rPr>
            <w:t>8</w:t>
          </w:r>
          <w:r w:rsidR="005269DC">
            <w:rPr>
              <w:noProof/>
            </w:rPr>
            <w:fldChar w:fldCharType="end"/>
          </w:r>
          <w:r w:rsidRPr="00770C27">
            <w:t xml:space="preserve"> of </w:t>
          </w:r>
          <w:r w:rsidR="005269DC">
            <w:fldChar w:fldCharType="begin"/>
          </w:r>
          <w:r w:rsidR="005269DC">
            <w:instrText xml:space="preserve"> NUMPAGES </w:instrText>
          </w:r>
          <w:r w:rsidR="005269DC">
            <w:fldChar w:fldCharType="separate"/>
          </w:r>
          <w:r w:rsidR="006A187D">
            <w:rPr>
              <w:noProof/>
            </w:rPr>
            <w:t>8</w:t>
          </w:r>
          <w:r w:rsidR="005269DC">
            <w:rPr>
              <w:noProof/>
            </w:rPr>
            <w:fldChar w:fldCharType="end"/>
          </w:r>
          <w:r w:rsidRPr="00770C27">
            <w:t xml:space="preserve"> </w:t>
          </w:r>
        </w:p>
      </w:tc>
      <w:tc>
        <w:tcPr>
          <w:tcW w:w="2160" w:type="dxa"/>
        </w:tcPr>
        <w:p w:rsidR="00956A27" w:rsidRPr="00770C27" w:rsidRDefault="00956A27" w:rsidP="00006CA8">
          <w:pPr>
            <w:pStyle w:val="Footer"/>
          </w:pPr>
        </w:p>
        <w:p w:rsidR="00956A27" w:rsidRPr="00770C27" w:rsidRDefault="005269DC" w:rsidP="00006CA8">
          <w:pPr>
            <w:pStyle w:val="Footer"/>
          </w:pPr>
          <w:r>
            <w:fldChar w:fldCharType="begin"/>
          </w:r>
          <w:r>
            <w:instrText xml:space="preserve"> SAVEDATE  \@ "MMMM d, yyyy"  \* MERGEFORMAT </w:instrText>
          </w:r>
          <w:r>
            <w:fldChar w:fldCharType="separate"/>
          </w:r>
          <w:r w:rsidR="00A06144">
            <w:rPr>
              <w:noProof/>
              <w:sz w:val="22"/>
              <w:szCs w:val="22"/>
            </w:rPr>
            <w:t>April 5, 2011</w:t>
          </w:r>
          <w:r>
            <w:rPr>
              <w:noProof/>
            </w:rPr>
            <w:fldChar w:fldCharType="end"/>
          </w:r>
        </w:p>
        <w:p w:rsidR="00956A27" w:rsidRPr="00770C27" w:rsidRDefault="00956A27" w:rsidP="00006CA8">
          <w:pPr>
            <w:pStyle w:val="Footer"/>
          </w:pPr>
        </w:p>
      </w:tc>
    </w:tr>
  </w:tbl>
  <w:p w:rsidR="00956A27" w:rsidRDefault="00956A27" w:rsidP="00006C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9DC" w:rsidRDefault="005269DC" w:rsidP="0037255B">
      <w:r>
        <w:separator/>
      </w:r>
    </w:p>
  </w:footnote>
  <w:footnote w:type="continuationSeparator" w:id="0">
    <w:p w:rsidR="005269DC" w:rsidRDefault="005269DC" w:rsidP="0037255B">
      <w:r>
        <w:continuationSeparator/>
      </w:r>
    </w:p>
  </w:footnote>
  <w:footnote w:id="1">
    <w:p w:rsidR="00956A27" w:rsidRDefault="00956A27" w:rsidP="0037255B">
      <w:pPr>
        <w:pStyle w:val="FootnoteText"/>
      </w:pPr>
      <w:r>
        <w:rPr>
          <w:rStyle w:val="FootnoteReference"/>
        </w:rPr>
        <w:footnoteRef/>
      </w:r>
      <w:r>
        <w:t xml:space="preserve"> For more details on the scoring methodology, see Impact Assessment Framework – Section III.3.2.</w:t>
      </w:r>
    </w:p>
  </w:footnote>
  <w:footnote w:id="2">
    <w:p w:rsidR="00956A27" w:rsidRPr="00524094" w:rsidRDefault="00956A27" w:rsidP="0037255B">
      <w:pPr>
        <w:pStyle w:val="FootnoteText"/>
      </w:pPr>
      <w:r>
        <w:rPr>
          <w:rStyle w:val="FootnoteReference"/>
        </w:rPr>
        <w:footnoteRef/>
      </w:r>
      <w:r>
        <w:t xml:space="preserve"> </w:t>
      </w:r>
      <w:r w:rsidRPr="00524094">
        <w:t xml:space="preserve">Impact Score = Risk Score </w:t>
      </w:r>
      <w:r w:rsidRPr="00524094">
        <w:rPr>
          <w:b/>
        </w:rPr>
        <w:t>+</w:t>
      </w:r>
      <w:r w:rsidRPr="00524094">
        <w:t xml:space="preserve"> Work Effort Score</w:t>
      </w:r>
      <w:r>
        <w:t xml:space="preserve">, where the </w:t>
      </w:r>
      <w:r w:rsidRPr="00524094">
        <w:t>Risk Score = Likelihood * Severity</w:t>
      </w:r>
      <w:r>
        <w:t xml:space="preserve"> and the </w:t>
      </w:r>
      <w:r w:rsidRPr="00524094">
        <w:t>Work Effort Score = Transition Effort + Steady State Effort</w:t>
      </w:r>
      <w:r>
        <w:t>.</w:t>
      </w:r>
    </w:p>
  </w:footnote>
  <w:footnote w:id="3">
    <w:p w:rsidR="00956A27" w:rsidRPr="009F0BA3" w:rsidRDefault="00956A27" w:rsidP="0037255B">
      <w:pPr>
        <w:pStyle w:val="FootnoteText"/>
      </w:pPr>
      <w:r>
        <w:rPr>
          <w:rStyle w:val="FootnoteReference"/>
        </w:rPr>
        <w:footnoteRef/>
      </w:r>
      <w:r>
        <w:t xml:space="preserve"> </w:t>
      </w:r>
      <w:r w:rsidRPr="009F0BA3">
        <w:t xml:space="preserve">Not all risks will require continued attention </w:t>
      </w:r>
      <w:r>
        <w:t>during the steady state phase.  I</w:t>
      </w:r>
      <w:r w:rsidRPr="009F0BA3">
        <w:t>n some instances, the work conducted during the transition will suffice</w:t>
      </w:r>
      <w:r>
        <w:t xml:space="preserve"> to avoid or mitigate the risk</w:t>
      </w:r>
      <w:r w:rsidRPr="009F0BA3">
        <w:t>.</w:t>
      </w:r>
    </w:p>
  </w:footnote>
  <w:footnote w:id="4">
    <w:p w:rsidR="00956A27" w:rsidRPr="00D240B3" w:rsidRDefault="00956A27" w:rsidP="0037255B">
      <w:pPr>
        <w:pStyle w:val="FootnoteText"/>
      </w:pPr>
      <w:r>
        <w:rPr>
          <w:rStyle w:val="FootnoteReference"/>
        </w:rPr>
        <w:footnoteRef/>
      </w:r>
      <w:r>
        <w:t xml:space="preserve"> The Work Effort is an initial indication of the relative level of efforts required for the ICD-10 implementation.</w:t>
      </w:r>
      <w:r w:rsidRPr="00D240B3">
        <w:t xml:space="preserve">  Later deliverables in the project will provide more detail on the resources required for ICD-10 implementation (number of FTEs, number of hours needed, number of resources needed, etc.).  </w:t>
      </w:r>
    </w:p>
  </w:footnote>
  <w:footnote w:id="5">
    <w:p w:rsidR="00956A27" w:rsidRDefault="00956A27" w:rsidP="0037255B">
      <w:pPr>
        <w:pStyle w:val="FootnoteText"/>
      </w:pPr>
      <w:r>
        <w:rPr>
          <w:rStyle w:val="FootnoteReference"/>
        </w:rPr>
        <w:footnoteRef/>
      </w:r>
      <w:r>
        <w:t xml:space="preserve"> Risk Score = Likelihood * Severity</w:t>
      </w:r>
    </w:p>
  </w:footnote>
  <w:footnote w:id="6">
    <w:p w:rsidR="00956A27" w:rsidRPr="00510AA1" w:rsidRDefault="00956A27" w:rsidP="0037255B">
      <w:r>
        <w:rPr>
          <w:rStyle w:val="FootnoteReference"/>
        </w:rPr>
        <w:footnoteRef/>
      </w:r>
      <w:r>
        <w:t xml:space="preserve"> </w:t>
      </w:r>
      <w:r w:rsidR="009A4B72" w:rsidRPr="009A4B72">
        <w:rPr>
          <w:rFonts w:ascii="Arial" w:hAnsi="Arial"/>
          <w:sz w:val="18"/>
          <w:szCs w:val="20"/>
        </w:rPr>
        <w:t>Work Effort Score = Transition Effort + Steady State Effort</w:t>
      </w:r>
      <w:r w:rsidRPr="00510AA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A27" w:rsidRPr="00A8258C" w:rsidRDefault="00A06144" w:rsidP="00006CA8">
    <w:pPr>
      <w:pStyle w:val="Header"/>
    </w:pPr>
    <w:r>
      <w:rPr>
        <w:noProof/>
      </w:rPr>
      <w:drawing>
        <wp:anchor distT="0" distB="0" distL="114300" distR="114300" simplePos="0" relativeHeight="251661312" behindDoc="0" locked="0" layoutInCell="1" allowOverlap="1">
          <wp:simplePos x="0" y="0"/>
          <wp:positionH relativeFrom="column">
            <wp:posOffset>12065</wp:posOffset>
          </wp:positionH>
          <wp:positionV relativeFrom="paragraph">
            <wp:posOffset>-159385</wp:posOffset>
          </wp:positionV>
          <wp:extent cx="1314450" cy="487680"/>
          <wp:effectExtent l="0" t="0" r="0" b="7620"/>
          <wp:wrapSquare wrapText="bothSides"/>
          <wp:docPr id="3"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87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2"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tGAIAADUEAAAOAAAAZHJzL2Uyb0RvYy54bWysU9uO2yAQfa/Uf0C8J75srlacVRUnfUm7&#10;kXb7AQRwjIoBAYkTVf33DsSJsu1LVdUPeGBmDmdmDovncyvRiVsntCpxNkwx4opqJtShxN/eNoMZ&#10;Rs4TxYjUipf4wh1+Xn78sOhMwXPdaMm4RQCiXNGZEjfemyJJHG14S9xQG67AWWvbEg9be0iYJR2g&#10;tzLJ03SSdNoyYzXlzsFpdXXiZcSva079S1077pEsMXDzcbVx3Yc1WS5IcbDENIL2NMg/sGiJUHDp&#10;HaoinqCjFX9AtYJa7XTth1S3ia5rQXmsAarJ0t+qeW2I4bEWaI4z9za5/wdLv552FglW4hwjRVoY&#10;0VYojp6gV8LLfhva1BlXQPRK7WwolJ7Vq9lq+t0hpVcNUQce6b5dDCRlISN5lxI2zsBl++6LZhBD&#10;jl7Hnp1r2wZI6AY6x9Fc7qPhZ48oHE6yfDodwwTpzZeQ4pZorPOfuW5RMEosoYAITE5b5wMRUtxC&#10;wj1Kb4SUcfJSoa7E83E+jglOS8GCM4Q5e9ivpEUnErQTv1gVeB7DrD4qFsEaTti6tz0R8mrD5VIF&#10;PCgF6PTWVRw/5ul8PVvPRoNRPlkPRmlVDT5tVqPBZJNNx9VTtVpV2c9ALRsVjWCMq8DuJtRs9HdC&#10;6J/MVWJ3qd7bkLxHj/0Csrd/JB1nGcZ3FcJes8vO3mYM2ozB/TsK4n/cg/342p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BRF760YAgAANQQAAA4AAAAAAAAAAAAAAAAALgIAAGRycy9lMm9Eb2MueG1sUEsBAi0AFAAG&#10;AAgAAAAhAPjFdR7eAAAACQEAAA8AAAAAAAAAAAAAAAAAcgQAAGRycy9kb3ducmV2LnhtbFBLBQYA&#10;AAAABAAEAPMAAAB9BQAAAAA=&#10;">
              <w10:wrap type="squar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6E2E"/>
    <w:multiLevelType w:val="multilevel"/>
    <w:tmpl w:val="42DEC9C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A7F67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55B"/>
    <w:rsid w:val="00006CA8"/>
    <w:rsid w:val="00012BC4"/>
    <w:rsid w:val="00013805"/>
    <w:rsid w:val="00021BB7"/>
    <w:rsid w:val="00022892"/>
    <w:rsid w:val="00026916"/>
    <w:rsid w:val="00037880"/>
    <w:rsid w:val="00051001"/>
    <w:rsid w:val="000527AA"/>
    <w:rsid w:val="00054AC0"/>
    <w:rsid w:val="00064890"/>
    <w:rsid w:val="00070D66"/>
    <w:rsid w:val="00075B19"/>
    <w:rsid w:val="00084DC4"/>
    <w:rsid w:val="0008588C"/>
    <w:rsid w:val="000C325C"/>
    <w:rsid w:val="000C7CAA"/>
    <w:rsid w:val="000D2744"/>
    <w:rsid w:val="000E2018"/>
    <w:rsid w:val="000E41CB"/>
    <w:rsid w:val="000F68CF"/>
    <w:rsid w:val="00104EDD"/>
    <w:rsid w:val="00106F0E"/>
    <w:rsid w:val="00110A36"/>
    <w:rsid w:val="00113CEE"/>
    <w:rsid w:val="00123728"/>
    <w:rsid w:val="0012452D"/>
    <w:rsid w:val="00126BAC"/>
    <w:rsid w:val="00143DAC"/>
    <w:rsid w:val="00157504"/>
    <w:rsid w:val="001676BC"/>
    <w:rsid w:val="001822AC"/>
    <w:rsid w:val="0019100E"/>
    <w:rsid w:val="001962BA"/>
    <w:rsid w:val="001B769E"/>
    <w:rsid w:val="001C062A"/>
    <w:rsid w:val="001C1B91"/>
    <w:rsid w:val="001D71BC"/>
    <w:rsid w:val="001E0A67"/>
    <w:rsid w:val="001E1899"/>
    <w:rsid w:val="001E7C78"/>
    <w:rsid w:val="00206770"/>
    <w:rsid w:val="00233F02"/>
    <w:rsid w:val="002519D9"/>
    <w:rsid w:val="00253C16"/>
    <w:rsid w:val="00254E66"/>
    <w:rsid w:val="002576B1"/>
    <w:rsid w:val="00266865"/>
    <w:rsid w:val="00281AA3"/>
    <w:rsid w:val="002858DD"/>
    <w:rsid w:val="002947D0"/>
    <w:rsid w:val="002A5316"/>
    <w:rsid w:val="002A658E"/>
    <w:rsid w:val="002B0FB6"/>
    <w:rsid w:val="002B16C6"/>
    <w:rsid w:val="002B2E83"/>
    <w:rsid w:val="002B7887"/>
    <w:rsid w:val="002C1F89"/>
    <w:rsid w:val="002C45D4"/>
    <w:rsid w:val="002D0E56"/>
    <w:rsid w:val="002E1EE8"/>
    <w:rsid w:val="002E6A58"/>
    <w:rsid w:val="00303257"/>
    <w:rsid w:val="00303569"/>
    <w:rsid w:val="003042D3"/>
    <w:rsid w:val="00310259"/>
    <w:rsid w:val="00313F7E"/>
    <w:rsid w:val="0031400B"/>
    <w:rsid w:val="003172D9"/>
    <w:rsid w:val="00323330"/>
    <w:rsid w:val="00345393"/>
    <w:rsid w:val="00346F41"/>
    <w:rsid w:val="00347C22"/>
    <w:rsid w:val="00366F50"/>
    <w:rsid w:val="0037255B"/>
    <w:rsid w:val="00377BB3"/>
    <w:rsid w:val="00397EC7"/>
    <w:rsid w:val="003B4726"/>
    <w:rsid w:val="003B7514"/>
    <w:rsid w:val="003C759F"/>
    <w:rsid w:val="003D3E5A"/>
    <w:rsid w:val="003E2792"/>
    <w:rsid w:val="00412FEB"/>
    <w:rsid w:val="00420103"/>
    <w:rsid w:val="0042386B"/>
    <w:rsid w:val="00423F94"/>
    <w:rsid w:val="0043092C"/>
    <w:rsid w:val="00437903"/>
    <w:rsid w:val="0046207E"/>
    <w:rsid w:val="0047531C"/>
    <w:rsid w:val="00486F67"/>
    <w:rsid w:val="0049004C"/>
    <w:rsid w:val="004B7801"/>
    <w:rsid w:val="004C5CFE"/>
    <w:rsid w:val="004D0637"/>
    <w:rsid w:val="004D4E6B"/>
    <w:rsid w:val="004E6546"/>
    <w:rsid w:val="004F4F75"/>
    <w:rsid w:val="00500B86"/>
    <w:rsid w:val="00503652"/>
    <w:rsid w:val="00504E90"/>
    <w:rsid w:val="005107A1"/>
    <w:rsid w:val="00513D5E"/>
    <w:rsid w:val="00514D0E"/>
    <w:rsid w:val="005269DC"/>
    <w:rsid w:val="0053156E"/>
    <w:rsid w:val="005333EB"/>
    <w:rsid w:val="005446FE"/>
    <w:rsid w:val="00546B66"/>
    <w:rsid w:val="00550AB6"/>
    <w:rsid w:val="00550D37"/>
    <w:rsid w:val="00551183"/>
    <w:rsid w:val="00552CB3"/>
    <w:rsid w:val="00554ADC"/>
    <w:rsid w:val="00561E9F"/>
    <w:rsid w:val="0056426A"/>
    <w:rsid w:val="00570863"/>
    <w:rsid w:val="005A6560"/>
    <w:rsid w:val="005B44CB"/>
    <w:rsid w:val="005D3145"/>
    <w:rsid w:val="005E2324"/>
    <w:rsid w:val="005E77B6"/>
    <w:rsid w:val="005F7590"/>
    <w:rsid w:val="0060187E"/>
    <w:rsid w:val="006117A2"/>
    <w:rsid w:val="006220DF"/>
    <w:rsid w:val="00622152"/>
    <w:rsid w:val="006231AD"/>
    <w:rsid w:val="006268DA"/>
    <w:rsid w:val="00627381"/>
    <w:rsid w:val="00636F41"/>
    <w:rsid w:val="006407EF"/>
    <w:rsid w:val="0064645E"/>
    <w:rsid w:val="00656044"/>
    <w:rsid w:val="00661F11"/>
    <w:rsid w:val="0066207E"/>
    <w:rsid w:val="00665EA5"/>
    <w:rsid w:val="0066783C"/>
    <w:rsid w:val="006707B0"/>
    <w:rsid w:val="00670B17"/>
    <w:rsid w:val="006718D2"/>
    <w:rsid w:val="006A187D"/>
    <w:rsid w:val="006A6722"/>
    <w:rsid w:val="006B10D1"/>
    <w:rsid w:val="006C0338"/>
    <w:rsid w:val="006C0FFA"/>
    <w:rsid w:val="006C4C36"/>
    <w:rsid w:val="006D5BF2"/>
    <w:rsid w:val="006D6C45"/>
    <w:rsid w:val="006E1F1F"/>
    <w:rsid w:val="007120F3"/>
    <w:rsid w:val="0071289E"/>
    <w:rsid w:val="00717AD1"/>
    <w:rsid w:val="0072005E"/>
    <w:rsid w:val="00736877"/>
    <w:rsid w:val="00747D22"/>
    <w:rsid w:val="007507CA"/>
    <w:rsid w:val="00752B40"/>
    <w:rsid w:val="00753EAE"/>
    <w:rsid w:val="007577E5"/>
    <w:rsid w:val="00770C27"/>
    <w:rsid w:val="0077312B"/>
    <w:rsid w:val="0078796F"/>
    <w:rsid w:val="007939B8"/>
    <w:rsid w:val="007A4B84"/>
    <w:rsid w:val="007B0A59"/>
    <w:rsid w:val="007D05D4"/>
    <w:rsid w:val="007D23B7"/>
    <w:rsid w:val="007D275F"/>
    <w:rsid w:val="007D5E19"/>
    <w:rsid w:val="007E2A34"/>
    <w:rsid w:val="007E3A2D"/>
    <w:rsid w:val="007F0F37"/>
    <w:rsid w:val="007F2B34"/>
    <w:rsid w:val="007F52D7"/>
    <w:rsid w:val="00831FC5"/>
    <w:rsid w:val="008417A3"/>
    <w:rsid w:val="008534A5"/>
    <w:rsid w:val="00853760"/>
    <w:rsid w:val="00854945"/>
    <w:rsid w:val="00863B73"/>
    <w:rsid w:val="008850C6"/>
    <w:rsid w:val="008851D4"/>
    <w:rsid w:val="00886DD6"/>
    <w:rsid w:val="00887BE0"/>
    <w:rsid w:val="00887E91"/>
    <w:rsid w:val="00893115"/>
    <w:rsid w:val="008A7CD9"/>
    <w:rsid w:val="008D19D4"/>
    <w:rsid w:val="008E17B6"/>
    <w:rsid w:val="008E2974"/>
    <w:rsid w:val="008F4F70"/>
    <w:rsid w:val="008F59C3"/>
    <w:rsid w:val="00900D2B"/>
    <w:rsid w:val="00914CE3"/>
    <w:rsid w:val="009256DA"/>
    <w:rsid w:val="009267C1"/>
    <w:rsid w:val="009338E6"/>
    <w:rsid w:val="0094232B"/>
    <w:rsid w:val="00956A27"/>
    <w:rsid w:val="009972BA"/>
    <w:rsid w:val="009A4B72"/>
    <w:rsid w:val="009B5BCA"/>
    <w:rsid w:val="009C787A"/>
    <w:rsid w:val="009D0CC4"/>
    <w:rsid w:val="009D2829"/>
    <w:rsid w:val="009D6808"/>
    <w:rsid w:val="009D7602"/>
    <w:rsid w:val="009F6D8A"/>
    <w:rsid w:val="00A02F14"/>
    <w:rsid w:val="00A06144"/>
    <w:rsid w:val="00A2542D"/>
    <w:rsid w:val="00A44535"/>
    <w:rsid w:val="00A475B2"/>
    <w:rsid w:val="00A53CF4"/>
    <w:rsid w:val="00A6172F"/>
    <w:rsid w:val="00A62666"/>
    <w:rsid w:val="00A6332C"/>
    <w:rsid w:val="00A64DA6"/>
    <w:rsid w:val="00A77414"/>
    <w:rsid w:val="00AA2EC3"/>
    <w:rsid w:val="00AA3886"/>
    <w:rsid w:val="00AA4DBE"/>
    <w:rsid w:val="00AC0DF7"/>
    <w:rsid w:val="00AD1CE3"/>
    <w:rsid w:val="00AD5D96"/>
    <w:rsid w:val="00AF67A0"/>
    <w:rsid w:val="00B03DC6"/>
    <w:rsid w:val="00B046B9"/>
    <w:rsid w:val="00B26049"/>
    <w:rsid w:val="00B32CE4"/>
    <w:rsid w:val="00B32EC8"/>
    <w:rsid w:val="00B50B9A"/>
    <w:rsid w:val="00B56F46"/>
    <w:rsid w:val="00B62869"/>
    <w:rsid w:val="00B65A55"/>
    <w:rsid w:val="00B70003"/>
    <w:rsid w:val="00B7321B"/>
    <w:rsid w:val="00B736E4"/>
    <w:rsid w:val="00B76C12"/>
    <w:rsid w:val="00B77A89"/>
    <w:rsid w:val="00B83473"/>
    <w:rsid w:val="00B96012"/>
    <w:rsid w:val="00BA19E2"/>
    <w:rsid w:val="00BC0869"/>
    <w:rsid w:val="00BD3B93"/>
    <w:rsid w:val="00BD60EE"/>
    <w:rsid w:val="00BE297A"/>
    <w:rsid w:val="00BE7A59"/>
    <w:rsid w:val="00C17610"/>
    <w:rsid w:val="00C24BAC"/>
    <w:rsid w:val="00C3025E"/>
    <w:rsid w:val="00C30FA8"/>
    <w:rsid w:val="00C31918"/>
    <w:rsid w:val="00C32E4E"/>
    <w:rsid w:val="00C339E9"/>
    <w:rsid w:val="00C34508"/>
    <w:rsid w:val="00C42587"/>
    <w:rsid w:val="00C5361B"/>
    <w:rsid w:val="00C53A84"/>
    <w:rsid w:val="00C632E2"/>
    <w:rsid w:val="00C67A43"/>
    <w:rsid w:val="00C73003"/>
    <w:rsid w:val="00C80822"/>
    <w:rsid w:val="00C83F53"/>
    <w:rsid w:val="00C868B6"/>
    <w:rsid w:val="00C9032F"/>
    <w:rsid w:val="00C936B6"/>
    <w:rsid w:val="00C943FC"/>
    <w:rsid w:val="00CB013D"/>
    <w:rsid w:val="00CB386A"/>
    <w:rsid w:val="00CB6DF8"/>
    <w:rsid w:val="00CC268E"/>
    <w:rsid w:val="00CD1A19"/>
    <w:rsid w:val="00CD55FA"/>
    <w:rsid w:val="00CE3788"/>
    <w:rsid w:val="00CE78B8"/>
    <w:rsid w:val="00D132A5"/>
    <w:rsid w:val="00D1550A"/>
    <w:rsid w:val="00D23E4C"/>
    <w:rsid w:val="00D24DED"/>
    <w:rsid w:val="00D24F65"/>
    <w:rsid w:val="00D27EE3"/>
    <w:rsid w:val="00D31E0B"/>
    <w:rsid w:val="00D43315"/>
    <w:rsid w:val="00D52508"/>
    <w:rsid w:val="00D5679C"/>
    <w:rsid w:val="00D60DC9"/>
    <w:rsid w:val="00D746C6"/>
    <w:rsid w:val="00D8631B"/>
    <w:rsid w:val="00D913F4"/>
    <w:rsid w:val="00D9524D"/>
    <w:rsid w:val="00DA0921"/>
    <w:rsid w:val="00DA0E6D"/>
    <w:rsid w:val="00DB1A1A"/>
    <w:rsid w:val="00DB3761"/>
    <w:rsid w:val="00DB5989"/>
    <w:rsid w:val="00DC0EE6"/>
    <w:rsid w:val="00DC784C"/>
    <w:rsid w:val="00DD1162"/>
    <w:rsid w:val="00DD4C5D"/>
    <w:rsid w:val="00DF547C"/>
    <w:rsid w:val="00DF698D"/>
    <w:rsid w:val="00E013C3"/>
    <w:rsid w:val="00E05DBC"/>
    <w:rsid w:val="00E1380F"/>
    <w:rsid w:val="00E149BF"/>
    <w:rsid w:val="00E1530D"/>
    <w:rsid w:val="00E20B5B"/>
    <w:rsid w:val="00E21012"/>
    <w:rsid w:val="00E2170E"/>
    <w:rsid w:val="00E3243C"/>
    <w:rsid w:val="00E35548"/>
    <w:rsid w:val="00E448C1"/>
    <w:rsid w:val="00E60931"/>
    <w:rsid w:val="00E816D8"/>
    <w:rsid w:val="00E82839"/>
    <w:rsid w:val="00E8589A"/>
    <w:rsid w:val="00E92A24"/>
    <w:rsid w:val="00EA279F"/>
    <w:rsid w:val="00EB0E63"/>
    <w:rsid w:val="00EB63AA"/>
    <w:rsid w:val="00EC69AF"/>
    <w:rsid w:val="00ED053A"/>
    <w:rsid w:val="00ED45B0"/>
    <w:rsid w:val="00ED58B3"/>
    <w:rsid w:val="00ED664F"/>
    <w:rsid w:val="00EE0F47"/>
    <w:rsid w:val="00EE118A"/>
    <w:rsid w:val="00F0124E"/>
    <w:rsid w:val="00F1764A"/>
    <w:rsid w:val="00F205B7"/>
    <w:rsid w:val="00F23549"/>
    <w:rsid w:val="00F235B9"/>
    <w:rsid w:val="00F44E7C"/>
    <w:rsid w:val="00F54C3F"/>
    <w:rsid w:val="00F567AD"/>
    <w:rsid w:val="00F63CDF"/>
    <w:rsid w:val="00F6466E"/>
    <w:rsid w:val="00F64A5A"/>
    <w:rsid w:val="00F672D2"/>
    <w:rsid w:val="00F70EF9"/>
    <w:rsid w:val="00F71A38"/>
    <w:rsid w:val="00F7566B"/>
    <w:rsid w:val="00F81DD7"/>
    <w:rsid w:val="00F90111"/>
    <w:rsid w:val="00F90AFD"/>
    <w:rsid w:val="00F92537"/>
    <w:rsid w:val="00F94D65"/>
    <w:rsid w:val="00F96F18"/>
    <w:rsid w:val="00FA0899"/>
    <w:rsid w:val="00FA1AE7"/>
    <w:rsid w:val="00FB0124"/>
    <w:rsid w:val="00FB28C5"/>
    <w:rsid w:val="00FB2ABD"/>
    <w:rsid w:val="00FB32E1"/>
    <w:rsid w:val="00FC6786"/>
    <w:rsid w:val="00FD530D"/>
    <w:rsid w:val="00FD77E5"/>
    <w:rsid w:val="00FE35F0"/>
    <w:rsid w:val="00FF1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55B"/>
    <w:pPr>
      <w:spacing w:after="0" w:line="240" w:lineRule="auto"/>
    </w:pPr>
    <w:rPr>
      <w:rFonts w:ascii="Times New Roman" w:eastAsia="Times New Roman" w:hAnsi="Times New Roman" w:cs="Times New Roman"/>
      <w:sz w:val="24"/>
      <w:szCs w:val="24"/>
    </w:rPr>
  </w:style>
  <w:style w:type="paragraph" w:styleId="Heading1">
    <w:name w:val="heading 1"/>
    <w:basedOn w:val="Heading3"/>
    <w:next w:val="Normal"/>
    <w:link w:val="Heading1Char"/>
    <w:qFormat/>
    <w:rsid w:val="0031400B"/>
    <w:pPr>
      <w:numPr>
        <w:numId w:val="1"/>
      </w:numPr>
      <w:outlineLvl w:val="0"/>
    </w:pPr>
  </w:style>
  <w:style w:type="paragraph" w:styleId="Heading2">
    <w:name w:val="heading 2"/>
    <w:basedOn w:val="Normal"/>
    <w:next w:val="Normal"/>
    <w:link w:val="Heading2Char"/>
    <w:unhideWhenUsed/>
    <w:qFormat/>
    <w:rsid w:val="0031400B"/>
    <w:pPr>
      <w:keepNext/>
      <w:keepLines/>
      <w:spacing w:before="200"/>
      <w:outlineLvl w:val="1"/>
    </w:pPr>
    <w:rPr>
      <w:rFonts w:ascii="Arial" w:eastAsiaTheme="majorEastAsia" w:hAnsi="Arial" w:cstheme="majorBidi"/>
      <w:b/>
      <w:bCs/>
      <w:szCs w:val="26"/>
    </w:rPr>
  </w:style>
  <w:style w:type="paragraph" w:styleId="Heading3">
    <w:name w:val="heading 3"/>
    <w:basedOn w:val="Heading2"/>
    <w:next w:val="Normal"/>
    <w:link w:val="Heading3Char"/>
    <w:unhideWhenUsed/>
    <w:qFormat/>
    <w:rsid w:val="0031400B"/>
    <w:pPr>
      <w:keepLines w:val="0"/>
      <w:spacing w:before="240" w:after="60"/>
      <w:ind w:left="1800" w:hanging="1800"/>
      <w:outlineLvl w:val="2"/>
    </w:pPr>
    <w:rPr>
      <w:rFonts w:eastAsia="Times New Roman" w:cs="Times New Roman"/>
      <w:bCs w:val="0"/>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00B"/>
    <w:rPr>
      <w:rFonts w:ascii="Arial" w:eastAsia="Times New Roman" w:hAnsi="Arial" w:cs="Times New Roman"/>
      <w:b/>
      <w:kern w:val="32"/>
      <w:sz w:val="24"/>
      <w:szCs w:val="32"/>
    </w:rPr>
  </w:style>
  <w:style w:type="character" w:customStyle="1" w:styleId="Heading2Char">
    <w:name w:val="Heading 2 Char"/>
    <w:basedOn w:val="DefaultParagraphFont"/>
    <w:link w:val="Heading2"/>
    <w:rsid w:val="0031400B"/>
    <w:rPr>
      <w:rFonts w:ascii="Arial" w:eastAsiaTheme="majorEastAsia" w:hAnsi="Arial" w:cstheme="majorBidi"/>
      <w:b/>
      <w:bCs/>
      <w:sz w:val="24"/>
      <w:szCs w:val="26"/>
    </w:rPr>
  </w:style>
  <w:style w:type="paragraph" w:styleId="Caption">
    <w:name w:val="caption"/>
    <w:basedOn w:val="Normal"/>
    <w:next w:val="Normal"/>
    <w:link w:val="CaptionChar"/>
    <w:uiPriority w:val="35"/>
    <w:unhideWhenUsed/>
    <w:qFormat/>
    <w:rsid w:val="00A77414"/>
    <w:pPr>
      <w:keepNext/>
      <w:spacing w:before="240" w:after="240"/>
      <w:jc w:val="center"/>
    </w:pPr>
    <w:rPr>
      <w:b/>
      <w:bCs/>
      <w:sz w:val="20"/>
      <w:szCs w:val="20"/>
    </w:rPr>
  </w:style>
  <w:style w:type="paragraph" w:styleId="ListParagraph">
    <w:name w:val="List Paragraph"/>
    <w:basedOn w:val="Normal"/>
    <w:uiPriority w:val="34"/>
    <w:qFormat/>
    <w:rsid w:val="003B4726"/>
    <w:pPr>
      <w:ind w:left="720"/>
      <w:contextualSpacing/>
    </w:pPr>
  </w:style>
  <w:style w:type="character" w:customStyle="1" w:styleId="Heading3Char">
    <w:name w:val="Heading 3 Char"/>
    <w:basedOn w:val="DefaultParagraphFont"/>
    <w:link w:val="Heading3"/>
    <w:rsid w:val="0031400B"/>
    <w:rPr>
      <w:rFonts w:ascii="Arial" w:eastAsia="Times New Roman" w:hAnsi="Arial" w:cs="Times New Roman"/>
      <w:b/>
      <w:kern w:val="32"/>
      <w:sz w:val="24"/>
      <w:szCs w:val="32"/>
    </w:rPr>
  </w:style>
  <w:style w:type="paragraph" w:styleId="Header">
    <w:name w:val="header"/>
    <w:basedOn w:val="Normal"/>
    <w:link w:val="HeaderChar"/>
    <w:rsid w:val="0037255B"/>
    <w:pPr>
      <w:tabs>
        <w:tab w:val="center" w:pos="4320"/>
        <w:tab w:val="right" w:pos="8640"/>
      </w:tabs>
    </w:pPr>
  </w:style>
  <w:style w:type="character" w:customStyle="1" w:styleId="HeaderChar">
    <w:name w:val="Header Char"/>
    <w:basedOn w:val="DefaultParagraphFont"/>
    <w:link w:val="Header"/>
    <w:rsid w:val="0037255B"/>
    <w:rPr>
      <w:rFonts w:ascii="Times New Roman" w:eastAsia="Times New Roman" w:hAnsi="Times New Roman" w:cs="Times New Roman"/>
      <w:sz w:val="24"/>
      <w:szCs w:val="24"/>
    </w:rPr>
  </w:style>
  <w:style w:type="paragraph" w:styleId="Footer">
    <w:name w:val="footer"/>
    <w:basedOn w:val="Normal"/>
    <w:link w:val="FooterChar"/>
    <w:rsid w:val="0037255B"/>
    <w:pPr>
      <w:tabs>
        <w:tab w:val="center" w:pos="4320"/>
        <w:tab w:val="right" w:pos="8640"/>
      </w:tabs>
    </w:pPr>
  </w:style>
  <w:style w:type="character" w:customStyle="1" w:styleId="FooterChar">
    <w:name w:val="Footer Char"/>
    <w:basedOn w:val="DefaultParagraphFont"/>
    <w:link w:val="Footer"/>
    <w:rsid w:val="0037255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37255B"/>
    <w:rPr>
      <w:rFonts w:cs="Times New Roman"/>
      <w:sz w:val="16"/>
    </w:rPr>
  </w:style>
  <w:style w:type="paragraph" w:styleId="CommentText">
    <w:name w:val="annotation text"/>
    <w:basedOn w:val="Normal"/>
    <w:link w:val="CommentTextChar"/>
    <w:uiPriority w:val="99"/>
    <w:rsid w:val="0037255B"/>
    <w:rPr>
      <w:sz w:val="20"/>
      <w:szCs w:val="20"/>
    </w:rPr>
  </w:style>
  <w:style w:type="character" w:customStyle="1" w:styleId="CommentTextChar">
    <w:name w:val="Comment Text Char"/>
    <w:basedOn w:val="DefaultParagraphFont"/>
    <w:link w:val="CommentText"/>
    <w:uiPriority w:val="99"/>
    <w:rsid w:val="0037255B"/>
    <w:rPr>
      <w:rFonts w:ascii="Times New Roman" w:eastAsia="Times New Roman" w:hAnsi="Times New Roman" w:cs="Times New Roman"/>
      <w:sz w:val="20"/>
      <w:szCs w:val="20"/>
    </w:rPr>
  </w:style>
  <w:style w:type="paragraph" w:styleId="BodyText">
    <w:name w:val="Body Text"/>
    <w:basedOn w:val="Normal"/>
    <w:link w:val="BodyTextChar"/>
    <w:uiPriority w:val="99"/>
    <w:rsid w:val="0037255B"/>
    <w:pPr>
      <w:spacing w:after="120"/>
    </w:pPr>
    <w:rPr>
      <w:rFonts w:ascii="Calibri" w:hAnsi="Calibri"/>
      <w:sz w:val="22"/>
      <w:szCs w:val="22"/>
    </w:rPr>
  </w:style>
  <w:style w:type="character" w:customStyle="1" w:styleId="BodyTextChar">
    <w:name w:val="Body Text Char"/>
    <w:basedOn w:val="DefaultParagraphFont"/>
    <w:link w:val="BodyText"/>
    <w:uiPriority w:val="99"/>
    <w:rsid w:val="0037255B"/>
    <w:rPr>
      <w:rFonts w:ascii="Calibri" w:eastAsia="Times New Roman" w:hAnsi="Calibri" w:cs="Times New Roman"/>
    </w:rPr>
  </w:style>
  <w:style w:type="paragraph" w:styleId="FootnoteText">
    <w:name w:val="footnote text"/>
    <w:basedOn w:val="Normal"/>
    <w:link w:val="FootnoteTextChar"/>
    <w:semiHidden/>
    <w:rsid w:val="0037255B"/>
    <w:pPr>
      <w:ind w:left="360" w:hanging="360"/>
    </w:pPr>
    <w:rPr>
      <w:rFonts w:ascii="Arial" w:hAnsi="Arial"/>
      <w:sz w:val="18"/>
      <w:szCs w:val="20"/>
    </w:rPr>
  </w:style>
  <w:style w:type="character" w:customStyle="1" w:styleId="FootnoteTextChar">
    <w:name w:val="Footnote Text Char"/>
    <w:basedOn w:val="DefaultParagraphFont"/>
    <w:link w:val="FootnoteText"/>
    <w:semiHidden/>
    <w:rsid w:val="0037255B"/>
    <w:rPr>
      <w:rFonts w:ascii="Arial" w:eastAsia="Times New Roman" w:hAnsi="Arial" w:cs="Times New Roman"/>
      <w:sz w:val="18"/>
      <w:szCs w:val="20"/>
    </w:rPr>
  </w:style>
  <w:style w:type="character" w:styleId="FootnoteReference">
    <w:name w:val="footnote reference"/>
    <w:basedOn w:val="DefaultParagraphFont"/>
    <w:semiHidden/>
    <w:rsid w:val="0037255B"/>
    <w:rPr>
      <w:rFonts w:ascii="Arial" w:hAnsi="Arial"/>
      <w:position w:val="6"/>
      <w:sz w:val="18"/>
    </w:rPr>
  </w:style>
  <w:style w:type="character" w:customStyle="1" w:styleId="Heading1CharChar">
    <w:name w:val="Heading 1 Char Char"/>
    <w:basedOn w:val="Heading1Char"/>
    <w:rsid w:val="0037255B"/>
    <w:rPr>
      <w:rFonts w:ascii="Arial" w:eastAsia="Times New Roman" w:hAnsi="Arial" w:cs="Times New Roman"/>
      <w:b/>
      <w:kern w:val="32"/>
      <w:sz w:val="36"/>
      <w:szCs w:val="36"/>
    </w:rPr>
  </w:style>
  <w:style w:type="character" w:customStyle="1" w:styleId="CaptionChar">
    <w:name w:val="Caption Char"/>
    <w:basedOn w:val="DefaultParagraphFont"/>
    <w:link w:val="Caption"/>
    <w:uiPriority w:val="35"/>
    <w:rsid w:val="00A774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7255B"/>
    <w:rPr>
      <w:rFonts w:ascii="Tahoma" w:hAnsi="Tahoma" w:cs="Tahoma"/>
      <w:sz w:val="16"/>
      <w:szCs w:val="16"/>
    </w:rPr>
  </w:style>
  <w:style w:type="character" w:customStyle="1" w:styleId="BalloonTextChar">
    <w:name w:val="Balloon Text Char"/>
    <w:basedOn w:val="DefaultParagraphFont"/>
    <w:link w:val="BalloonText"/>
    <w:uiPriority w:val="99"/>
    <w:semiHidden/>
    <w:rsid w:val="0037255B"/>
    <w:rPr>
      <w:rFonts w:ascii="Tahoma" w:eastAsia="Times New Roman" w:hAnsi="Tahoma" w:cs="Tahoma"/>
      <w:sz w:val="16"/>
      <w:szCs w:val="16"/>
    </w:rPr>
  </w:style>
  <w:style w:type="table" w:customStyle="1" w:styleId="MediumShading1-Accent11">
    <w:name w:val="Medium Shading 1 - Accent 11"/>
    <w:basedOn w:val="TableNormal"/>
    <w:uiPriority w:val="63"/>
    <w:rsid w:val="0031400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1">
    <w:name w:val="toc 1"/>
    <w:basedOn w:val="Normal"/>
    <w:next w:val="Normal"/>
    <w:autoRedefine/>
    <w:uiPriority w:val="39"/>
    <w:unhideWhenUsed/>
    <w:rsid w:val="00FD530D"/>
    <w:pPr>
      <w:spacing w:after="100"/>
    </w:pPr>
  </w:style>
  <w:style w:type="character" w:styleId="Hyperlink">
    <w:name w:val="Hyperlink"/>
    <w:basedOn w:val="DefaultParagraphFont"/>
    <w:uiPriority w:val="99"/>
    <w:unhideWhenUsed/>
    <w:rsid w:val="00FD530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235B9"/>
    <w:rPr>
      <w:b/>
      <w:bCs/>
    </w:rPr>
  </w:style>
  <w:style w:type="character" w:customStyle="1" w:styleId="CommentSubjectChar">
    <w:name w:val="Comment Subject Char"/>
    <w:basedOn w:val="CommentTextChar"/>
    <w:link w:val="CommentSubject"/>
    <w:uiPriority w:val="99"/>
    <w:semiHidden/>
    <w:rsid w:val="00F235B9"/>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DA0921"/>
    <w:rPr>
      <w:color w:val="808080"/>
    </w:rPr>
  </w:style>
  <w:style w:type="paragraph" w:styleId="TableofFigures">
    <w:name w:val="table of figures"/>
    <w:basedOn w:val="Normal"/>
    <w:next w:val="Normal"/>
    <w:uiPriority w:val="99"/>
    <w:unhideWhenUsed/>
    <w:rsid w:val="00CC268E"/>
  </w:style>
  <w:style w:type="paragraph" w:styleId="TOCHeading">
    <w:name w:val="TOC Heading"/>
    <w:basedOn w:val="Heading1"/>
    <w:next w:val="Normal"/>
    <w:uiPriority w:val="39"/>
    <w:unhideWhenUsed/>
    <w:qFormat/>
    <w:rsid w:val="00CC268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55B"/>
    <w:pPr>
      <w:spacing w:after="0" w:line="240" w:lineRule="auto"/>
    </w:pPr>
    <w:rPr>
      <w:rFonts w:ascii="Times New Roman" w:eastAsia="Times New Roman" w:hAnsi="Times New Roman" w:cs="Times New Roman"/>
      <w:sz w:val="24"/>
      <w:szCs w:val="24"/>
    </w:rPr>
  </w:style>
  <w:style w:type="paragraph" w:styleId="Heading1">
    <w:name w:val="heading 1"/>
    <w:basedOn w:val="Heading3"/>
    <w:next w:val="Normal"/>
    <w:link w:val="Heading1Char"/>
    <w:qFormat/>
    <w:rsid w:val="0031400B"/>
    <w:pPr>
      <w:numPr>
        <w:numId w:val="1"/>
      </w:numPr>
      <w:outlineLvl w:val="0"/>
    </w:pPr>
  </w:style>
  <w:style w:type="paragraph" w:styleId="Heading2">
    <w:name w:val="heading 2"/>
    <w:basedOn w:val="Normal"/>
    <w:next w:val="Normal"/>
    <w:link w:val="Heading2Char"/>
    <w:unhideWhenUsed/>
    <w:qFormat/>
    <w:rsid w:val="0031400B"/>
    <w:pPr>
      <w:keepNext/>
      <w:keepLines/>
      <w:spacing w:before="200"/>
      <w:outlineLvl w:val="1"/>
    </w:pPr>
    <w:rPr>
      <w:rFonts w:ascii="Arial" w:eastAsiaTheme="majorEastAsia" w:hAnsi="Arial" w:cstheme="majorBidi"/>
      <w:b/>
      <w:bCs/>
      <w:szCs w:val="26"/>
    </w:rPr>
  </w:style>
  <w:style w:type="paragraph" w:styleId="Heading3">
    <w:name w:val="heading 3"/>
    <w:basedOn w:val="Heading2"/>
    <w:next w:val="Normal"/>
    <w:link w:val="Heading3Char"/>
    <w:unhideWhenUsed/>
    <w:qFormat/>
    <w:rsid w:val="0031400B"/>
    <w:pPr>
      <w:keepLines w:val="0"/>
      <w:spacing w:before="240" w:after="60"/>
      <w:ind w:left="1800" w:hanging="1800"/>
      <w:outlineLvl w:val="2"/>
    </w:pPr>
    <w:rPr>
      <w:rFonts w:eastAsia="Times New Roman" w:cs="Times New Roman"/>
      <w:bCs w:val="0"/>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00B"/>
    <w:rPr>
      <w:rFonts w:ascii="Arial" w:eastAsia="Times New Roman" w:hAnsi="Arial" w:cs="Times New Roman"/>
      <w:b/>
      <w:kern w:val="32"/>
      <w:sz w:val="24"/>
      <w:szCs w:val="32"/>
    </w:rPr>
  </w:style>
  <w:style w:type="character" w:customStyle="1" w:styleId="Heading2Char">
    <w:name w:val="Heading 2 Char"/>
    <w:basedOn w:val="DefaultParagraphFont"/>
    <w:link w:val="Heading2"/>
    <w:rsid w:val="0031400B"/>
    <w:rPr>
      <w:rFonts w:ascii="Arial" w:eastAsiaTheme="majorEastAsia" w:hAnsi="Arial" w:cstheme="majorBidi"/>
      <w:b/>
      <w:bCs/>
      <w:sz w:val="24"/>
      <w:szCs w:val="26"/>
    </w:rPr>
  </w:style>
  <w:style w:type="paragraph" w:styleId="Caption">
    <w:name w:val="caption"/>
    <w:basedOn w:val="Normal"/>
    <w:next w:val="Normal"/>
    <w:link w:val="CaptionChar"/>
    <w:uiPriority w:val="35"/>
    <w:unhideWhenUsed/>
    <w:qFormat/>
    <w:rsid w:val="00A77414"/>
    <w:pPr>
      <w:keepNext/>
      <w:spacing w:before="240" w:after="240"/>
      <w:jc w:val="center"/>
    </w:pPr>
    <w:rPr>
      <w:b/>
      <w:bCs/>
      <w:sz w:val="20"/>
      <w:szCs w:val="20"/>
    </w:rPr>
  </w:style>
  <w:style w:type="paragraph" w:styleId="ListParagraph">
    <w:name w:val="List Paragraph"/>
    <w:basedOn w:val="Normal"/>
    <w:uiPriority w:val="34"/>
    <w:qFormat/>
    <w:rsid w:val="003B4726"/>
    <w:pPr>
      <w:ind w:left="720"/>
      <w:contextualSpacing/>
    </w:pPr>
  </w:style>
  <w:style w:type="character" w:customStyle="1" w:styleId="Heading3Char">
    <w:name w:val="Heading 3 Char"/>
    <w:basedOn w:val="DefaultParagraphFont"/>
    <w:link w:val="Heading3"/>
    <w:rsid w:val="0031400B"/>
    <w:rPr>
      <w:rFonts w:ascii="Arial" w:eastAsia="Times New Roman" w:hAnsi="Arial" w:cs="Times New Roman"/>
      <w:b/>
      <w:kern w:val="32"/>
      <w:sz w:val="24"/>
      <w:szCs w:val="32"/>
    </w:rPr>
  </w:style>
  <w:style w:type="paragraph" w:styleId="Header">
    <w:name w:val="header"/>
    <w:basedOn w:val="Normal"/>
    <w:link w:val="HeaderChar"/>
    <w:rsid w:val="0037255B"/>
    <w:pPr>
      <w:tabs>
        <w:tab w:val="center" w:pos="4320"/>
        <w:tab w:val="right" w:pos="8640"/>
      </w:tabs>
    </w:pPr>
  </w:style>
  <w:style w:type="character" w:customStyle="1" w:styleId="HeaderChar">
    <w:name w:val="Header Char"/>
    <w:basedOn w:val="DefaultParagraphFont"/>
    <w:link w:val="Header"/>
    <w:rsid w:val="0037255B"/>
    <w:rPr>
      <w:rFonts w:ascii="Times New Roman" w:eastAsia="Times New Roman" w:hAnsi="Times New Roman" w:cs="Times New Roman"/>
      <w:sz w:val="24"/>
      <w:szCs w:val="24"/>
    </w:rPr>
  </w:style>
  <w:style w:type="paragraph" w:styleId="Footer">
    <w:name w:val="footer"/>
    <w:basedOn w:val="Normal"/>
    <w:link w:val="FooterChar"/>
    <w:rsid w:val="0037255B"/>
    <w:pPr>
      <w:tabs>
        <w:tab w:val="center" w:pos="4320"/>
        <w:tab w:val="right" w:pos="8640"/>
      </w:tabs>
    </w:pPr>
  </w:style>
  <w:style w:type="character" w:customStyle="1" w:styleId="FooterChar">
    <w:name w:val="Footer Char"/>
    <w:basedOn w:val="DefaultParagraphFont"/>
    <w:link w:val="Footer"/>
    <w:rsid w:val="0037255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37255B"/>
    <w:rPr>
      <w:rFonts w:cs="Times New Roman"/>
      <w:sz w:val="16"/>
    </w:rPr>
  </w:style>
  <w:style w:type="paragraph" w:styleId="CommentText">
    <w:name w:val="annotation text"/>
    <w:basedOn w:val="Normal"/>
    <w:link w:val="CommentTextChar"/>
    <w:uiPriority w:val="99"/>
    <w:rsid w:val="0037255B"/>
    <w:rPr>
      <w:sz w:val="20"/>
      <w:szCs w:val="20"/>
    </w:rPr>
  </w:style>
  <w:style w:type="character" w:customStyle="1" w:styleId="CommentTextChar">
    <w:name w:val="Comment Text Char"/>
    <w:basedOn w:val="DefaultParagraphFont"/>
    <w:link w:val="CommentText"/>
    <w:uiPriority w:val="99"/>
    <w:rsid w:val="0037255B"/>
    <w:rPr>
      <w:rFonts w:ascii="Times New Roman" w:eastAsia="Times New Roman" w:hAnsi="Times New Roman" w:cs="Times New Roman"/>
      <w:sz w:val="20"/>
      <w:szCs w:val="20"/>
    </w:rPr>
  </w:style>
  <w:style w:type="paragraph" w:styleId="BodyText">
    <w:name w:val="Body Text"/>
    <w:basedOn w:val="Normal"/>
    <w:link w:val="BodyTextChar"/>
    <w:uiPriority w:val="99"/>
    <w:rsid w:val="0037255B"/>
    <w:pPr>
      <w:spacing w:after="120"/>
    </w:pPr>
    <w:rPr>
      <w:rFonts w:ascii="Calibri" w:hAnsi="Calibri"/>
      <w:sz w:val="22"/>
      <w:szCs w:val="22"/>
    </w:rPr>
  </w:style>
  <w:style w:type="character" w:customStyle="1" w:styleId="BodyTextChar">
    <w:name w:val="Body Text Char"/>
    <w:basedOn w:val="DefaultParagraphFont"/>
    <w:link w:val="BodyText"/>
    <w:uiPriority w:val="99"/>
    <w:rsid w:val="0037255B"/>
    <w:rPr>
      <w:rFonts w:ascii="Calibri" w:eastAsia="Times New Roman" w:hAnsi="Calibri" w:cs="Times New Roman"/>
    </w:rPr>
  </w:style>
  <w:style w:type="paragraph" w:styleId="FootnoteText">
    <w:name w:val="footnote text"/>
    <w:basedOn w:val="Normal"/>
    <w:link w:val="FootnoteTextChar"/>
    <w:semiHidden/>
    <w:rsid w:val="0037255B"/>
    <w:pPr>
      <w:ind w:left="360" w:hanging="360"/>
    </w:pPr>
    <w:rPr>
      <w:rFonts w:ascii="Arial" w:hAnsi="Arial"/>
      <w:sz w:val="18"/>
      <w:szCs w:val="20"/>
    </w:rPr>
  </w:style>
  <w:style w:type="character" w:customStyle="1" w:styleId="FootnoteTextChar">
    <w:name w:val="Footnote Text Char"/>
    <w:basedOn w:val="DefaultParagraphFont"/>
    <w:link w:val="FootnoteText"/>
    <w:semiHidden/>
    <w:rsid w:val="0037255B"/>
    <w:rPr>
      <w:rFonts w:ascii="Arial" w:eastAsia="Times New Roman" w:hAnsi="Arial" w:cs="Times New Roman"/>
      <w:sz w:val="18"/>
      <w:szCs w:val="20"/>
    </w:rPr>
  </w:style>
  <w:style w:type="character" w:styleId="FootnoteReference">
    <w:name w:val="footnote reference"/>
    <w:basedOn w:val="DefaultParagraphFont"/>
    <w:semiHidden/>
    <w:rsid w:val="0037255B"/>
    <w:rPr>
      <w:rFonts w:ascii="Arial" w:hAnsi="Arial"/>
      <w:position w:val="6"/>
      <w:sz w:val="18"/>
    </w:rPr>
  </w:style>
  <w:style w:type="character" w:customStyle="1" w:styleId="Heading1CharChar">
    <w:name w:val="Heading 1 Char Char"/>
    <w:basedOn w:val="Heading1Char"/>
    <w:rsid w:val="0037255B"/>
    <w:rPr>
      <w:rFonts w:ascii="Arial" w:eastAsia="Times New Roman" w:hAnsi="Arial" w:cs="Times New Roman"/>
      <w:b/>
      <w:kern w:val="32"/>
      <w:sz w:val="36"/>
      <w:szCs w:val="36"/>
    </w:rPr>
  </w:style>
  <w:style w:type="character" w:customStyle="1" w:styleId="CaptionChar">
    <w:name w:val="Caption Char"/>
    <w:basedOn w:val="DefaultParagraphFont"/>
    <w:link w:val="Caption"/>
    <w:uiPriority w:val="35"/>
    <w:rsid w:val="00A774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7255B"/>
    <w:rPr>
      <w:rFonts w:ascii="Tahoma" w:hAnsi="Tahoma" w:cs="Tahoma"/>
      <w:sz w:val="16"/>
      <w:szCs w:val="16"/>
    </w:rPr>
  </w:style>
  <w:style w:type="character" w:customStyle="1" w:styleId="BalloonTextChar">
    <w:name w:val="Balloon Text Char"/>
    <w:basedOn w:val="DefaultParagraphFont"/>
    <w:link w:val="BalloonText"/>
    <w:uiPriority w:val="99"/>
    <w:semiHidden/>
    <w:rsid w:val="0037255B"/>
    <w:rPr>
      <w:rFonts w:ascii="Tahoma" w:eastAsia="Times New Roman" w:hAnsi="Tahoma" w:cs="Tahoma"/>
      <w:sz w:val="16"/>
      <w:szCs w:val="16"/>
    </w:rPr>
  </w:style>
  <w:style w:type="table" w:customStyle="1" w:styleId="MediumShading1-Accent11">
    <w:name w:val="Medium Shading 1 - Accent 11"/>
    <w:basedOn w:val="TableNormal"/>
    <w:uiPriority w:val="63"/>
    <w:rsid w:val="0031400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1">
    <w:name w:val="toc 1"/>
    <w:basedOn w:val="Normal"/>
    <w:next w:val="Normal"/>
    <w:autoRedefine/>
    <w:uiPriority w:val="39"/>
    <w:unhideWhenUsed/>
    <w:rsid w:val="00FD530D"/>
    <w:pPr>
      <w:spacing w:after="100"/>
    </w:pPr>
  </w:style>
  <w:style w:type="character" w:styleId="Hyperlink">
    <w:name w:val="Hyperlink"/>
    <w:basedOn w:val="DefaultParagraphFont"/>
    <w:uiPriority w:val="99"/>
    <w:unhideWhenUsed/>
    <w:rsid w:val="00FD530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235B9"/>
    <w:rPr>
      <w:b/>
      <w:bCs/>
    </w:rPr>
  </w:style>
  <w:style w:type="character" w:customStyle="1" w:styleId="CommentSubjectChar">
    <w:name w:val="Comment Subject Char"/>
    <w:basedOn w:val="CommentTextChar"/>
    <w:link w:val="CommentSubject"/>
    <w:uiPriority w:val="99"/>
    <w:semiHidden/>
    <w:rsid w:val="00F235B9"/>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DA0921"/>
    <w:rPr>
      <w:color w:val="808080"/>
    </w:rPr>
  </w:style>
  <w:style w:type="paragraph" w:styleId="TableofFigures">
    <w:name w:val="table of figures"/>
    <w:basedOn w:val="Normal"/>
    <w:next w:val="Normal"/>
    <w:uiPriority w:val="99"/>
    <w:unhideWhenUsed/>
    <w:rsid w:val="00CC268E"/>
  </w:style>
  <w:style w:type="paragraph" w:styleId="TOCHeading">
    <w:name w:val="TOC Heading"/>
    <w:basedOn w:val="Heading1"/>
    <w:next w:val="Normal"/>
    <w:uiPriority w:val="39"/>
    <w:unhideWhenUsed/>
    <w:qFormat/>
    <w:rsid w:val="00CC268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30C06-DA28-415C-8A0F-53A5980AB966}">
  <ds:schemaRefs>
    <ds:schemaRef ds:uri="http://schemas.microsoft.com/office/2006/metadata/properties"/>
  </ds:schemaRefs>
</ds:datastoreItem>
</file>

<file path=customXml/itemProps2.xml><?xml version="1.0" encoding="utf-8"?>
<ds:datastoreItem xmlns:ds="http://schemas.openxmlformats.org/officeDocument/2006/customXml" ds:itemID="{D7670DA3-1B92-4DB5-8BB4-5A0B67C13D8A}">
  <ds:schemaRefs>
    <ds:schemaRef ds:uri="http://schemas.microsoft.com/sharepoint/v3/contenttype/forms"/>
  </ds:schemaRefs>
</ds:datastoreItem>
</file>

<file path=customXml/itemProps3.xml><?xml version="1.0" encoding="utf-8"?>
<ds:datastoreItem xmlns:ds="http://schemas.openxmlformats.org/officeDocument/2006/customXml" ds:itemID="{8B151C52-EA8B-4EA3-B691-34CFA147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B265D4-1F11-431A-8024-BE98F345E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ImpactScoringTemplate</vt:lpstr>
    </vt:vector>
  </TitlesOfParts>
  <Company>Noblis</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ImpactScoringTemplate</dc:title>
  <dc:creator>BJC-Noblis</dc:creator>
  <cp:lastModifiedBy>test1</cp:lastModifiedBy>
  <cp:revision>4</cp:revision>
  <dcterms:created xsi:type="dcterms:W3CDTF">2011-04-21T16:13:00Z</dcterms:created>
  <dcterms:modified xsi:type="dcterms:W3CDTF">2011-04-21T16:18:00Z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0x010100EA572F5FD4B8A447AA67E66408BD3C37</vt:lpwstr>
  </property>
</Properties>
</file>